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174A" w14:textId="77777777" w:rsidR="00E0622F" w:rsidRDefault="00905DE4">
      <w:pPr>
        <w:spacing w:after="76" w:line="259" w:lineRule="auto"/>
        <w:ind w:left="0" w:firstLine="0"/>
      </w:pPr>
      <w:r>
        <w:rPr>
          <w:rFonts w:ascii="Times New Roman" w:eastAsia="Times New Roman" w:hAnsi="Times New Roman" w:cs="Times New Roman"/>
          <w:sz w:val="26"/>
        </w:rPr>
        <w:t xml:space="preserve"> </w:t>
      </w:r>
    </w:p>
    <w:p w14:paraId="73FD2AAD" w14:textId="77777777" w:rsidR="00E0622F" w:rsidRDefault="00905DE4">
      <w:pPr>
        <w:pStyle w:val="Heading1"/>
      </w:pPr>
      <w:r>
        <w:t>Responsible Investment (RI) Policy</w:t>
      </w:r>
      <w:r>
        <w:rPr>
          <w:u w:val="none"/>
        </w:rPr>
        <w:t xml:space="preserve"> </w:t>
      </w:r>
    </w:p>
    <w:p w14:paraId="525B22E9" w14:textId="77777777" w:rsidR="00E0622F" w:rsidRDefault="00905DE4">
      <w:pPr>
        <w:spacing w:after="0" w:line="259" w:lineRule="auto"/>
        <w:ind w:left="15" w:right="4" w:hanging="10"/>
        <w:jc w:val="center"/>
      </w:pPr>
      <w:r>
        <w:rPr>
          <w:sz w:val="22"/>
        </w:rPr>
        <w:t xml:space="preserve">Genus Capital Management </w:t>
      </w:r>
    </w:p>
    <w:p w14:paraId="644FF4AA" w14:textId="18C501DB" w:rsidR="00E0622F" w:rsidRDefault="00BF13E9" w:rsidP="008C22DD">
      <w:pPr>
        <w:spacing w:after="0" w:line="259" w:lineRule="auto"/>
        <w:ind w:left="15" w:hanging="10"/>
        <w:jc w:val="center"/>
      </w:pPr>
      <w:r>
        <w:rPr>
          <w:sz w:val="22"/>
        </w:rPr>
        <w:t>August</w:t>
      </w:r>
      <w:r w:rsidR="00622E98">
        <w:rPr>
          <w:sz w:val="22"/>
        </w:rPr>
        <w:t xml:space="preserve"> 2023</w:t>
      </w:r>
      <w:r w:rsidR="00905DE4">
        <w:rPr>
          <w:sz w:val="22"/>
        </w:rPr>
        <w:t xml:space="preserve"> </w:t>
      </w:r>
    </w:p>
    <w:p w14:paraId="6A69F7E5" w14:textId="77777777" w:rsidR="00E0622F" w:rsidRDefault="00905DE4">
      <w:pPr>
        <w:spacing w:after="0" w:line="259" w:lineRule="auto"/>
        <w:ind w:left="0" w:firstLine="0"/>
      </w:pPr>
      <w:r>
        <w:rPr>
          <w:sz w:val="29"/>
        </w:rPr>
        <w:t xml:space="preserve"> </w:t>
      </w:r>
    </w:p>
    <w:p w14:paraId="7E57F9BC" w14:textId="77777777" w:rsidR="00E0622F" w:rsidRDefault="00905DE4">
      <w:pPr>
        <w:pStyle w:val="Heading2"/>
        <w:ind w:left="96"/>
      </w:pPr>
      <w:r>
        <w:t xml:space="preserve">Introduction </w:t>
      </w:r>
    </w:p>
    <w:p w14:paraId="10149092" w14:textId="77777777" w:rsidR="00E0622F" w:rsidRDefault="00905DE4">
      <w:pPr>
        <w:spacing w:after="0" w:line="259" w:lineRule="auto"/>
        <w:ind w:left="0" w:firstLine="0"/>
      </w:pPr>
      <w:r>
        <w:rPr>
          <w:b/>
          <w:sz w:val="20"/>
        </w:rPr>
        <w:t xml:space="preserve"> </w:t>
      </w:r>
    </w:p>
    <w:p w14:paraId="7FFADA79" w14:textId="77777777" w:rsidR="00E0622F" w:rsidRDefault="00905DE4">
      <w:pPr>
        <w:ind w:left="95" w:right="53"/>
      </w:pPr>
      <w:r>
        <w:t xml:space="preserve">Genus Capital Management believes that responsible </w:t>
      </w:r>
      <w:proofErr w:type="gramStart"/>
      <w:r>
        <w:t>investing</w:t>
      </w:r>
      <w:proofErr w:type="gramEnd"/>
      <w:r>
        <w:t xml:space="preserve"> is in the long-term best interests of our clients. Responsible investing is the consideration of environmental, social, and governance (ESG) factors into investment decision making and ongoing investment management. This policy states our responsible investing commitment, approach, and engagement. </w:t>
      </w:r>
    </w:p>
    <w:p w14:paraId="559C3EF4" w14:textId="77777777" w:rsidR="00E0622F" w:rsidRDefault="00905DE4">
      <w:pPr>
        <w:spacing w:after="108" w:line="259" w:lineRule="auto"/>
        <w:ind w:left="0" w:firstLine="0"/>
      </w:pPr>
      <w:r>
        <w:rPr>
          <w:sz w:val="26"/>
        </w:rPr>
        <w:t xml:space="preserve"> </w:t>
      </w:r>
    </w:p>
    <w:p w14:paraId="6627FF2A" w14:textId="77777777" w:rsidR="00E0622F" w:rsidRDefault="00905DE4">
      <w:pPr>
        <w:pStyle w:val="Heading2"/>
        <w:ind w:left="96"/>
      </w:pPr>
      <w:r>
        <w:t xml:space="preserve">Our Commitment </w:t>
      </w:r>
    </w:p>
    <w:p w14:paraId="2774D702" w14:textId="77777777" w:rsidR="00E0622F" w:rsidRDefault="00905DE4">
      <w:pPr>
        <w:spacing w:after="0" w:line="259" w:lineRule="auto"/>
        <w:ind w:left="0" w:firstLine="0"/>
      </w:pPr>
      <w:r>
        <w:rPr>
          <w:b/>
          <w:sz w:val="20"/>
        </w:rPr>
        <w:t xml:space="preserve"> </w:t>
      </w:r>
    </w:p>
    <w:p w14:paraId="48693F05" w14:textId="77777777" w:rsidR="00E0622F" w:rsidRDefault="00905DE4">
      <w:pPr>
        <w:spacing w:after="0"/>
        <w:ind w:left="95" w:right="53"/>
      </w:pPr>
      <w:r>
        <w:t xml:space="preserve">Genus Capital Management integrates responsible investing practices into our investment decisions and strives to be a leader in sustainable investing. </w:t>
      </w:r>
    </w:p>
    <w:p w14:paraId="08A36DC0" w14:textId="77777777" w:rsidR="00E0622F" w:rsidRDefault="00905DE4">
      <w:pPr>
        <w:spacing w:after="0" w:line="259" w:lineRule="auto"/>
        <w:ind w:left="0" w:firstLine="0"/>
      </w:pPr>
      <w:r>
        <w:rPr>
          <w:sz w:val="20"/>
        </w:rPr>
        <w:t xml:space="preserve"> </w:t>
      </w:r>
    </w:p>
    <w:p w14:paraId="00B60471" w14:textId="77777777" w:rsidR="00E0622F" w:rsidRDefault="00905DE4">
      <w:pPr>
        <w:spacing w:after="99"/>
        <w:ind w:left="95" w:right="53"/>
      </w:pPr>
      <w:r>
        <w:t xml:space="preserve">We are a signatory to the United Nations Principles for Responsible Investing (UNPRI) and are committed to the following: </w:t>
      </w:r>
    </w:p>
    <w:p w14:paraId="61D52489" w14:textId="77777777" w:rsidR="00E0622F" w:rsidRDefault="00905DE4">
      <w:pPr>
        <w:numPr>
          <w:ilvl w:val="0"/>
          <w:numId w:val="1"/>
        </w:numPr>
        <w:spacing w:after="99"/>
        <w:ind w:right="53" w:hanging="358"/>
      </w:pPr>
      <w:r>
        <w:t xml:space="preserve">Principle 1: We will incorporate ESG issues into investment analysis and decision- making processes. </w:t>
      </w:r>
    </w:p>
    <w:p w14:paraId="48E79288" w14:textId="77777777" w:rsidR="00E0622F" w:rsidRDefault="00905DE4">
      <w:pPr>
        <w:numPr>
          <w:ilvl w:val="0"/>
          <w:numId w:val="1"/>
        </w:numPr>
        <w:spacing w:after="99"/>
        <w:ind w:right="53" w:hanging="358"/>
      </w:pPr>
      <w:r>
        <w:t xml:space="preserve">Principle 2: We will be active owners and incorporate ESG issues into our ownership policies and practices. </w:t>
      </w:r>
    </w:p>
    <w:p w14:paraId="76ED4CE3" w14:textId="77777777" w:rsidR="00E0622F" w:rsidRDefault="00905DE4">
      <w:pPr>
        <w:numPr>
          <w:ilvl w:val="0"/>
          <w:numId w:val="1"/>
        </w:numPr>
        <w:spacing w:after="99"/>
        <w:ind w:right="53" w:hanging="358"/>
      </w:pPr>
      <w:r>
        <w:t xml:space="preserve">Principle 3: We will seek appropriate disclosure </w:t>
      </w:r>
      <w:proofErr w:type="gramStart"/>
      <w:r>
        <w:t>on</w:t>
      </w:r>
      <w:proofErr w:type="gramEnd"/>
      <w:r>
        <w:t xml:space="preserve"> ESG issues by the entities in which we invest. </w:t>
      </w:r>
    </w:p>
    <w:p w14:paraId="08AB865F" w14:textId="77777777" w:rsidR="00E0622F" w:rsidRDefault="00905DE4">
      <w:pPr>
        <w:numPr>
          <w:ilvl w:val="0"/>
          <w:numId w:val="1"/>
        </w:numPr>
        <w:spacing w:after="99"/>
        <w:ind w:right="53" w:hanging="358"/>
      </w:pPr>
      <w:r>
        <w:t xml:space="preserve">Principle 4: We will promote acceptance and implementation of the </w:t>
      </w:r>
      <w:proofErr w:type="gramStart"/>
      <w:r>
        <w:t>Principles</w:t>
      </w:r>
      <w:proofErr w:type="gramEnd"/>
      <w:r>
        <w:t xml:space="preserve"> within the investment industry. </w:t>
      </w:r>
    </w:p>
    <w:p w14:paraId="374E9F30" w14:textId="77777777" w:rsidR="00E0622F" w:rsidRDefault="00905DE4">
      <w:pPr>
        <w:numPr>
          <w:ilvl w:val="0"/>
          <w:numId w:val="1"/>
        </w:numPr>
        <w:spacing w:after="99"/>
        <w:ind w:right="53" w:hanging="358"/>
      </w:pPr>
      <w:r>
        <w:t xml:space="preserve">Principle 5: We will work together to enhance our effectiveness in implementing the </w:t>
      </w:r>
      <w:proofErr w:type="gramStart"/>
      <w:r>
        <w:t>Principles</w:t>
      </w:r>
      <w:proofErr w:type="gramEnd"/>
      <w:r>
        <w:t xml:space="preserve">. </w:t>
      </w:r>
    </w:p>
    <w:p w14:paraId="5E3DC283" w14:textId="77777777" w:rsidR="00E0622F" w:rsidRDefault="00905DE4">
      <w:pPr>
        <w:numPr>
          <w:ilvl w:val="0"/>
          <w:numId w:val="1"/>
        </w:numPr>
        <w:ind w:right="53" w:hanging="358"/>
      </w:pPr>
      <w:r>
        <w:t xml:space="preserve">Principle 6: We will each report on our activities and progress towards implementing the </w:t>
      </w:r>
      <w:proofErr w:type="gramStart"/>
      <w:r>
        <w:t>Principles</w:t>
      </w:r>
      <w:proofErr w:type="gramEnd"/>
      <w:r>
        <w:t xml:space="preserve">. </w:t>
      </w:r>
    </w:p>
    <w:p w14:paraId="025BFFC6" w14:textId="77777777" w:rsidR="00E0622F" w:rsidRDefault="00905DE4">
      <w:pPr>
        <w:spacing w:after="110" w:line="259" w:lineRule="auto"/>
        <w:ind w:left="0" w:firstLine="0"/>
      </w:pPr>
      <w:r>
        <w:rPr>
          <w:sz w:val="26"/>
        </w:rPr>
        <w:t xml:space="preserve"> </w:t>
      </w:r>
    </w:p>
    <w:p w14:paraId="1E6FFCCA" w14:textId="77777777" w:rsidR="00E0622F" w:rsidRDefault="00905DE4">
      <w:pPr>
        <w:pStyle w:val="Heading2"/>
        <w:ind w:left="96"/>
      </w:pPr>
      <w:r>
        <w:t xml:space="preserve">Approach </w:t>
      </w:r>
    </w:p>
    <w:p w14:paraId="49418B28" w14:textId="77777777" w:rsidR="00E0622F" w:rsidRDefault="00905DE4">
      <w:pPr>
        <w:spacing w:after="0" w:line="259" w:lineRule="auto"/>
        <w:ind w:left="0" w:firstLine="0"/>
      </w:pPr>
      <w:r>
        <w:rPr>
          <w:b/>
          <w:sz w:val="20"/>
        </w:rPr>
        <w:t xml:space="preserve"> </w:t>
      </w:r>
    </w:p>
    <w:p w14:paraId="728449BB" w14:textId="77777777" w:rsidR="00E0622F" w:rsidRDefault="00905DE4">
      <w:pPr>
        <w:ind w:left="95" w:right="53"/>
      </w:pPr>
      <w:r>
        <w:t xml:space="preserve">Genus Capital Management is an active asset management </w:t>
      </w:r>
      <w:proofErr w:type="gramStart"/>
      <w:r>
        <w:t>firm</w:t>
      </w:r>
      <w:proofErr w:type="gramEnd"/>
      <w:r>
        <w:t xml:space="preserve"> so we consider risks and opportunities before investing for clients. Environmental, social, and governance factors have risks and opportunities, which we strive to detect and use in our </w:t>
      </w:r>
      <w:proofErr w:type="gramStart"/>
      <w:r>
        <w:t>decision making</w:t>
      </w:r>
      <w:proofErr w:type="gramEnd"/>
      <w:r>
        <w:t xml:space="preserve"> process. </w:t>
      </w:r>
    </w:p>
    <w:p w14:paraId="0A26AC03" w14:textId="77777777" w:rsidR="00604BCA" w:rsidRDefault="00604BCA" w:rsidP="00C15BE6">
      <w:pPr>
        <w:ind w:left="0" w:right="53" w:firstLine="0"/>
      </w:pPr>
    </w:p>
    <w:p w14:paraId="1910015E" w14:textId="723D0736" w:rsidR="00E0622F" w:rsidRPr="00BB7621" w:rsidRDefault="00905DE4">
      <w:pPr>
        <w:spacing w:after="0"/>
        <w:ind w:left="95" w:right="53"/>
        <w:rPr>
          <w:color w:val="auto"/>
        </w:rPr>
      </w:pPr>
      <w:r>
        <w:t xml:space="preserve">Our research has shown that companies with positive ESG factors have been good investments historically. </w:t>
      </w:r>
      <w:r w:rsidRPr="00BB7621">
        <w:rPr>
          <w:color w:val="auto"/>
        </w:rPr>
        <w:t xml:space="preserve">Due to this research, and our drive to align investments with the best interests for society, we </w:t>
      </w:r>
      <w:r w:rsidR="00DC6079" w:rsidRPr="00BB7621">
        <w:rPr>
          <w:color w:val="auto"/>
        </w:rPr>
        <w:t xml:space="preserve">have </w:t>
      </w:r>
      <w:r w:rsidR="00B05B0E" w:rsidRPr="00BB7621">
        <w:rPr>
          <w:color w:val="auto"/>
        </w:rPr>
        <w:t xml:space="preserve">investment models that </w:t>
      </w:r>
      <w:r w:rsidRPr="00BB7621">
        <w:rPr>
          <w:color w:val="auto"/>
        </w:rPr>
        <w:t>integrate ESG factors</w:t>
      </w:r>
      <w:r w:rsidR="00B05B0E" w:rsidRPr="00BB7621">
        <w:rPr>
          <w:color w:val="auto"/>
        </w:rPr>
        <w:t>.</w:t>
      </w:r>
    </w:p>
    <w:p w14:paraId="1611238E" w14:textId="77777777" w:rsidR="00E0622F" w:rsidRPr="00BB7621" w:rsidRDefault="00905DE4">
      <w:pPr>
        <w:spacing w:after="0" w:line="259" w:lineRule="auto"/>
        <w:ind w:left="0" w:firstLine="0"/>
        <w:rPr>
          <w:color w:val="auto"/>
        </w:rPr>
      </w:pPr>
      <w:r w:rsidRPr="00BB7621">
        <w:rPr>
          <w:color w:val="auto"/>
          <w:sz w:val="20"/>
        </w:rPr>
        <w:t xml:space="preserve"> </w:t>
      </w:r>
    </w:p>
    <w:p w14:paraId="2A8DBF1A" w14:textId="77777777" w:rsidR="00E0622F" w:rsidRDefault="00905DE4">
      <w:pPr>
        <w:ind w:left="95" w:right="53"/>
      </w:pPr>
      <w:r>
        <w:t xml:space="preserve">The “deeper green” funds and client accounts managed by Genus Capital Management, including our Fossil Free® suite of funds, go beyond responsible investing and will also have negative screening </w:t>
      </w:r>
      <w:proofErr w:type="gramStart"/>
      <w:r>
        <w:t>in order to</w:t>
      </w:r>
      <w:proofErr w:type="gramEnd"/>
      <w:r>
        <w:t xml:space="preserve"> cut out companies and groups of companies not aligned with client’s values, such as screens on controversial industries, products, or actions. Some fund and client account portfolios will also have positive screening applied in the investment </w:t>
      </w:r>
      <w:r>
        <w:lastRenderedPageBreak/>
        <w:t xml:space="preserve">process with the aim of increasing positive environmental and/or social impact.  With positive screening, we may choose to overweight investments with strong ESG factors or ones that have considerable focus on an activity which creates substantial benefit to society. </w:t>
      </w:r>
    </w:p>
    <w:p w14:paraId="1AE90AFC" w14:textId="77777777" w:rsidR="00E0622F" w:rsidRPr="00BC35B3" w:rsidRDefault="00905DE4">
      <w:pPr>
        <w:spacing w:after="105" w:line="259" w:lineRule="auto"/>
        <w:ind w:left="0" w:firstLine="0"/>
        <w:rPr>
          <w:color w:val="auto"/>
          <w:sz w:val="26"/>
        </w:rPr>
      </w:pPr>
      <w:r>
        <w:rPr>
          <w:sz w:val="26"/>
        </w:rPr>
        <w:t xml:space="preserve"> </w:t>
      </w:r>
    </w:p>
    <w:p w14:paraId="6925A839" w14:textId="77777777" w:rsidR="00AD7C7D" w:rsidRPr="00BC35B3" w:rsidRDefault="00AD7C7D" w:rsidP="00AD7C7D">
      <w:pPr>
        <w:spacing w:after="105" w:line="259" w:lineRule="auto"/>
        <w:ind w:left="0" w:firstLine="0"/>
        <w:rPr>
          <w:b/>
          <w:bCs/>
          <w:color w:val="auto"/>
          <w:szCs w:val="23"/>
        </w:rPr>
      </w:pPr>
      <w:r w:rsidRPr="00BC35B3">
        <w:rPr>
          <w:b/>
          <w:bCs/>
          <w:color w:val="auto"/>
          <w:szCs w:val="23"/>
        </w:rPr>
        <w:t>Guidelines on ESG Factors</w:t>
      </w:r>
    </w:p>
    <w:p w14:paraId="64B38FAF" w14:textId="77777777" w:rsidR="00AD7C7D" w:rsidRPr="00BC35B3" w:rsidRDefault="00AD7C7D" w:rsidP="00AD7C7D">
      <w:pPr>
        <w:spacing w:after="105" w:line="259" w:lineRule="auto"/>
        <w:ind w:left="0" w:firstLine="0"/>
        <w:rPr>
          <w:color w:val="auto"/>
          <w:szCs w:val="23"/>
          <w:u w:val="single"/>
        </w:rPr>
      </w:pPr>
      <w:r w:rsidRPr="00BC35B3">
        <w:rPr>
          <w:color w:val="auto"/>
          <w:szCs w:val="23"/>
          <w:u w:val="single"/>
        </w:rPr>
        <w:t>Environmental factors:</w:t>
      </w:r>
    </w:p>
    <w:p w14:paraId="579C2BE0" w14:textId="58E4FFDB" w:rsidR="00AD7C7D" w:rsidRPr="00BC35B3" w:rsidRDefault="00AD7C7D" w:rsidP="00AD7C7D">
      <w:pPr>
        <w:pStyle w:val="ListParagraph"/>
        <w:numPr>
          <w:ilvl w:val="0"/>
          <w:numId w:val="7"/>
        </w:numPr>
        <w:spacing w:after="105" w:line="259" w:lineRule="auto"/>
        <w:rPr>
          <w:color w:val="auto"/>
          <w:szCs w:val="23"/>
        </w:rPr>
      </w:pPr>
      <w:r w:rsidRPr="00BC35B3">
        <w:rPr>
          <w:color w:val="auto"/>
          <w:szCs w:val="23"/>
        </w:rPr>
        <w:t>Genus strives to have the carbon intensity of sustainable funds significantly below the benchmark</w:t>
      </w:r>
      <w:r w:rsidR="008C22DD">
        <w:rPr>
          <w:color w:val="auto"/>
          <w:szCs w:val="23"/>
        </w:rPr>
        <w:t>.</w:t>
      </w:r>
    </w:p>
    <w:p w14:paraId="1D4C2185" w14:textId="3D4C5E7A" w:rsidR="00AD7C7D" w:rsidRPr="00BC35B3" w:rsidRDefault="00AD7C7D" w:rsidP="00AD7C7D">
      <w:pPr>
        <w:pStyle w:val="ListParagraph"/>
        <w:numPr>
          <w:ilvl w:val="0"/>
          <w:numId w:val="7"/>
        </w:numPr>
        <w:spacing w:after="105" w:line="259" w:lineRule="auto"/>
        <w:rPr>
          <w:color w:val="auto"/>
          <w:szCs w:val="23"/>
        </w:rPr>
      </w:pPr>
      <w:r w:rsidRPr="00BC35B3">
        <w:rPr>
          <w:color w:val="auto"/>
          <w:szCs w:val="23"/>
        </w:rPr>
        <w:t>Sustainable funds do not hold fossil fuel reserve</w:t>
      </w:r>
      <w:r w:rsidR="008C22DD">
        <w:rPr>
          <w:color w:val="auto"/>
          <w:szCs w:val="23"/>
        </w:rPr>
        <w:t>s.</w:t>
      </w:r>
    </w:p>
    <w:p w14:paraId="0CAEA96F" w14:textId="35D14BE8" w:rsidR="00AD7C7D" w:rsidRPr="00BC35B3" w:rsidRDefault="00AD7C7D" w:rsidP="00AD7C7D">
      <w:pPr>
        <w:pStyle w:val="ListParagraph"/>
        <w:numPr>
          <w:ilvl w:val="0"/>
          <w:numId w:val="7"/>
        </w:numPr>
        <w:spacing w:after="105" w:line="259" w:lineRule="auto"/>
        <w:rPr>
          <w:color w:val="auto"/>
          <w:szCs w:val="23"/>
        </w:rPr>
      </w:pPr>
      <w:r w:rsidRPr="00BC35B3">
        <w:rPr>
          <w:color w:val="auto"/>
          <w:szCs w:val="23"/>
        </w:rPr>
        <w:t xml:space="preserve">Genus uses engagement and proxy voting to encourage </w:t>
      </w:r>
      <w:r w:rsidR="00782715" w:rsidRPr="00BC35B3">
        <w:rPr>
          <w:color w:val="auto"/>
          <w:szCs w:val="23"/>
        </w:rPr>
        <w:t xml:space="preserve">companies </w:t>
      </w:r>
      <w:r w:rsidRPr="00BC35B3">
        <w:rPr>
          <w:color w:val="auto"/>
          <w:szCs w:val="23"/>
        </w:rPr>
        <w:t>to lower climate risk, such as reporting on climate related data and lower</w:t>
      </w:r>
      <w:r w:rsidR="00782715" w:rsidRPr="00BC35B3">
        <w:rPr>
          <w:color w:val="auto"/>
          <w:szCs w:val="23"/>
        </w:rPr>
        <w:t>ing</w:t>
      </w:r>
      <w:r w:rsidRPr="00BC35B3">
        <w:rPr>
          <w:color w:val="auto"/>
          <w:szCs w:val="23"/>
        </w:rPr>
        <w:t xml:space="preserve"> carbon emissions</w:t>
      </w:r>
      <w:r w:rsidR="008C22DD">
        <w:rPr>
          <w:color w:val="auto"/>
          <w:szCs w:val="23"/>
        </w:rPr>
        <w:t>.</w:t>
      </w:r>
    </w:p>
    <w:p w14:paraId="23A6D10E" w14:textId="77777777" w:rsidR="00AD7C7D" w:rsidRPr="00BC35B3" w:rsidRDefault="00AD7C7D" w:rsidP="00AD7C7D">
      <w:pPr>
        <w:pStyle w:val="ListParagraph"/>
        <w:numPr>
          <w:ilvl w:val="0"/>
          <w:numId w:val="7"/>
        </w:numPr>
        <w:spacing w:after="105" w:line="259" w:lineRule="auto"/>
        <w:rPr>
          <w:color w:val="auto"/>
          <w:szCs w:val="23"/>
        </w:rPr>
      </w:pPr>
      <w:r w:rsidRPr="00BC35B3">
        <w:rPr>
          <w:color w:val="auto"/>
          <w:szCs w:val="23"/>
        </w:rPr>
        <w:t>Within impact mandates, Genus looks for climate transition opportunities, such as renewable energy, energy efficiency, and sustainable buildings.</w:t>
      </w:r>
    </w:p>
    <w:p w14:paraId="5B2DC755" w14:textId="6CF0932B" w:rsidR="009361FD" w:rsidRPr="00BC35B3" w:rsidRDefault="00782715" w:rsidP="009361FD">
      <w:pPr>
        <w:pStyle w:val="ListParagraph"/>
        <w:numPr>
          <w:ilvl w:val="0"/>
          <w:numId w:val="7"/>
        </w:numPr>
        <w:spacing w:after="105" w:line="259" w:lineRule="auto"/>
        <w:rPr>
          <w:color w:val="auto"/>
          <w:szCs w:val="23"/>
        </w:rPr>
      </w:pPr>
      <w:r w:rsidRPr="00BC35B3">
        <w:rPr>
          <w:color w:val="auto"/>
          <w:szCs w:val="23"/>
        </w:rPr>
        <w:t>For responsible and sustainable funds, s</w:t>
      </w:r>
      <w:r w:rsidR="009361FD" w:rsidRPr="00BC35B3">
        <w:rPr>
          <w:color w:val="auto"/>
          <w:szCs w:val="23"/>
        </w:rPr>
        <w:t xml:space="preserve">pecific guidelines for environmental factors </w:t>
      </w:r>
      <w:proofErr w:type="gramStart"/>
      <w:r w:rsidR="009361FD" w:rsidRPr="00BC35B3">
        <w:rPr>
          <w:color w:val="auto"/>
          <w:szCs w:val="23"/>
        </w:rPr>
        <w:t>are;</w:t>
      </w:r>
      <w:proofErr w:type="gramEnd"/>
    </w:p>
    <w:p w14:paraId="7D30249B" w14:textId="1930F3A7" w:rsidR="000C6D42" w:rsidRPr="00BC35B3" w:rsidRDefault="006E182C" w:rsidP="003859B9">
      <w:pPr>
        <w:pStyle w:val="ListParagraph"/>
        <w:numPr>
          <w:ilvl w:val="1"/>
          <w:numId w:val="7"/>
        </w:numPr>
        <w:spacing w:after="105" w:line="259" w:lineRule="auto"/>
        <w:rPr>
          <w:color w:val="auto"/>
          <w:szCs w:val="23"/>
        </w:rPr>
      </w:pPr>
      <w:r>
        <w:rPr>
          <w:color w:val="auto"/>
          <w:szCs w:val="23"/>
        </w:rPr>
        <w:t>Equity f</w:t>
      </w:r>
      <w:r w:rsidR="000C6D42" w:rsidRPr="00BC35B3">
        <w:rPr>
          <w:color w:val="auto"/>
          <w:szCs w:val="23"/>
        </w:rPr>
        <w:t>unds must main</w:t>
      </w:r>
      <w:r w:rsidR="00782715" w:rsidRPr="00BC35B3">
        <w:rPr>
          <w:color w:val="auto"/>
          <w:szCs w:val="23"/>
        </w:rPr>
        <w:t>tain</w:t>
      </w:r>
      <w:r w:rsidR="000C6D42" w:rsidRPr="00BC35B3">
        <w:rPr>
          <w:color w:val="auto"/>
          <w:szCs w:val="23"/>
        </w:rPr>
        <w:t xml:space="preserve"> a carbon footprint 90% or lower than that of the benchmark</w:t>
      </w:r>
      <w:r w:rsidR="00CD0184" w:rsidRPr="00BC35B3">
        <w:rPr>
          <w:rStyle w:val="FootnoteReference"/>
          <w:color w:val="auto"/>
          <w:szCs w:val="23"/>
        </w:rPr>
        <w:footnoteReference w:id="1"/>
      </w:r>
    </w:p>
    <w:p w14:paraId="6FF6476C" w14:textId="20D5F2AA" w:rsidR="00613103" w:rsidRPr="00BC35B3" w:rsidRDefault="00613103" w:rsidP="003859B9">
      <w:pPr>
        <w:pStyle w:val="ListParagraph"/>
        <w:numPr>
          <w:ilvl w:val="1"/>
          <w:numId w:val="7"/>
        </w:numPr>
        <w:spacing w:after="105" w:line="259" w:lineRule="auto"/>
        <w:rPr>
          <w:color w:val="auto"/>
          <w:szCs w:val="23"/>
        </w:rPr>
      </w:pPr>
      <w:r w:rsidRPr="00BC35B3">
        <w:rPr>
          <w:color w:val="auto"/>
          <w:szCs w:val="23"/>
        </w:rPr>
        <w:t xml:space="preserve">Each Genus fund is required to have ESG integrated into their portfolio construction and analysis process. </w:t>
      </w:r>
    </w:p>
    <w:p w14:paraId="51AED5BC" w14:textId="77777777" w:rsidR="00AD7C7D" w:rsidRPr="00BC35B3" w:rsidRDefault="00AD7C7D" w:rsidP="00AD7C7D">
      <w:pPr>
        <w:pStyle w:val="ListParagraph"/>
        <w:spacing w:after="105" w:line="259" w:lineRule="auto"/>
        <w:ind w:left="1080" w:firstLine="0"/>
        <w:rPr>
          <w:color w:val="auto"/>
          <w:szCs w:val="23"/>
        </w:rPr>
      </w:pPr>
    </w:p>
    <w:p w14:paraId="3B4A6A5C" w14:textId="77777777" w:rsidR="00AD7C7D" w:rsidRPr="00BC35B3" w:rsidRDefault="00AD7C7D" w:rsidP="00AD7C7D">
      <w:pPr>
        <w:spacing w:after="105" w:line="259" w:lineRule="auto"/>
        <w:rPr>
          <w:color w:val="auto"/>
          <w:szCs w:val="23"/>
          <w:u w:val="single"/>
        </w:rPr>
      </w:pPr>
      <w:r w:rsidRPr="00BC35B3">
        <w:rPr>
          <w:color w:val="auto"/>
          <w:szCs w:val="23"/>
          <w:u w:val="single"/>
        </w:rPr>
        <w:t>Social factors:</w:t>
      </w:r>
    </w:p>
    <w:p w14:paraId="30DF15D4" w14:textId="77777777"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Within sustainable funds, Genus excludes companies with severe social controversies in areas of human rights, labor practices, community relations, and customer safety.</w:t>
      </w:r>
    </w:p>
    <w:p w14:paraId="795527A6" w14:textId="3959D81A"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 xml:space="preserve">Genus excludes tobacco from all </w:t>
      </w:r>
      <w:r w:rsidR="00782715" w:rsidRPr="00BC35B3">
        <w:rPr>
          <w:color w:val="auto"/>
          <w:szCs w:val="23"/>
        </w:rPr>
        <w:t xml:space="preserve">directly managed </w:t>
      </w:r>
      <w:r w:rsidRPr="00BC35B3">
        <w:rPr>
          <w:color w:val="auto"/>
          <w:szCs w:val="23"/>
        </w:rPr>
        <w:t>portfolios</w:t>
      </w:r>
      <w:r w:rsidR="008C22DD">
        <w:rPr>
          <w:color w:val="auto"/>
          <w:szCs w:val="23"/>
        </w:rPr>
        <w:t>.</w:t>
      </w:r>
    </w:p>
    <w:p w14:paraId="52DF1000" w14:textId="46C42899"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 xml:space="preserve">Genus excludes </w:t>
      </w:r>
      <w:r w:rsidR="00DA414C" w:rsidRPr="00BC35B3">
        <w:rPr>
          <w:color w:val="auto"/>
          <w:szCs w:val="23"/>
        </w:rPr>
        <w:t>companies</w:t>
      </w:r>
      <w:r w:rsidR="00771067" w:rsidRPr="00BC35B3">
        <w:rPr>
          <w:color w:val="auto"/>
          <w:szCs w:val="23"/>
        </w:rPr>
        <w:t xml:space="preserve"> with over 10% of revenue from</w:t>
      </w:r>
      <w:r w:rsidR="00DA414C" w:rsidRPr="00BC35B3">
        <w:rPr>
          <w:color w:val="auto"/>
          <w:szCs w:val="23"/>
        </w:rPr>
        <w:t xml:space="preserve"> </w:t>
      </w:r>
      <w:r w:rsidRPr="00BC35B3">
        <w:rPr>
          <w:color w:val="auto"/>
          <w:szCs w:val="23"/>
        </w:rPr>
        <w:t>controversial products that could hurt customers, employees, or communities</w:t>
      </w:r>
      <w:r w:rsidR="008C22DD">
        <w:rPr>
          <w:color w:val="auto"/>
          <w:szCs w:val="23"/>
        </w:rPr>
        <w:t>.</w:t>
      </w:r>
    </w:p>
    <w:p w14:paraId="5275C437" w14:textId="1635FB5B"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Through engagement, Genus strives to influence social outcomes</w:t>
      </w:r>
      <w:r w:rsidR="00771067" w:rsidRPr="00BC35B3">
        <w:rPr>
          <w:color w:val="auto"/>
          <w:szCs w:val="23"/>
        </w:rPr>
        <w:t xml:space="preserve"> </w:t>
      </w:r>
      <w:r w:rsidRPr="00BC35B3">
        <w:rPr>
          <w:color w:val="auto"/>
          <w:szCs w:val="23"/>
        </w:rPr>
        <w:t>within companies invested in. Genus often does this in collaboration with other asset managers or asset owners.</w:t>
      </w:r>
    </w:p>
    <w:p w14:paraId="767A3DE7" w14:textId="2B41CBD9" w:rsidR="00DA414C" w:rsidRPr="00BC35B3" w:rsidRDefault="00DA414C" w:rsidP="00AD7C7D">
      <w:pPr>
        <w:pStyle w:val="ListParagraph"/>
        <w:numPr>
          <w:ilvl w:val="0"/>
          <w:numId w:val="8"/>
        </w:numPr>
        <w:spacing w:after="105" w:line="259" w:lineRule="auto"/>
        <w:rPr>
          <w:color w:val="auto"/>
          <w:szCs w:val="23"/>
        </w:rPr>
      </w:pPr>
      <w:r w:rsidRPr="00BC35B3">
        <w:rPr>
          <w:color w:val="auto"/>
          <w:szCs w:val="23"/>
        </w:rPr>
        <w:t xml:space="preserve">Regarding human rights, </w:t>
      </w:r>
      <w:r w:rsidR="009E74C9" w:rsidRPr="00BC35B3">
        <w:rPr>
          <w:color w:val="auto"/>
          <w:szCs w:val="23"/>
        </w:rPr>
        <w:t xml:space="preserve">all responsible funds exclude </w:t>
      </w:r>
      <w:r w:rsidR="00771067" w:rsidRPr="00BC35B3">
        <w:rPr>
          <w:color w:val="auto"/>
          <w:szCs w:val="23"/>
        </w:rPr>
        <w:t xml:space="preserve">companies with significant human rights controversies </w:t>
      </w:r>
      <w:r w:rsidR="009E74C9" w:rsidRPr="00BC35B3">
        <w:rPr>
          <w:color w:val="auto"/>
          <w:szCs w:val="23"/>
        </w:rPr>
        <w:t>resulting in poor social factor rankings</w:t>
      </w:r>
      <w:r w:rsidR="008C22DD">
        <w:rPr>
          <w:color w:val="auto"/>
          <w:szCs w:val="23"/>
        </w:rPr>
        <w:t>.</w:t>
      </w:r>
      <w:r w:rsidR="009E74C9" w:rsidRPr="00BC35B3">
        <w:rPr>
          <w:color w:val="auto"/>
          <w:szCs w:val="23"/>
        </w:rPr>
        <w:t xml:space="preserve"> Genus sustainable funds exclude </w:t>
      </w:r>
      <w:r w:rsidR="00771067" w:rsidRPr="00BC35B3">
        <w:rPr>
          <w:color w:val="auto"/>
          <w:szCs w:val="23"/>
        </w:rPr>
        <w:t>companies making over 10% of revenue from certain products that could negatively affect human rights. A main theme within engagement is human rights and decent work.</w:t>
      </w:r>
    </w:p>
    <w:p w14:paraId="1D345F31" w14:textId="77777777" w:rsidR="00CD0184" w:rsidRDefault="00CD0184" w:rsidP="00C15BE6">
      <w:pPr>
        <w:spacing w:after="105" w:line="259" w:lineRule="auto"/>
        <w:ind w:left="0" w:firstLine="0"/>
        <w:rPr>
          <w:color w:val="auto"/>
          <w:szCs w:val="23"/>
        </w:rPr>
      </w:pPr>
    </w:p>
    <w:p w14:paraId="6F9462FF" w14:textId="77777777" w:rsidR="008C22DD" w:rsidRPr="00BC35B3" w:rsidRDefault="008C22DD" w:rsidP="00C15BE6">
      <w:pPr>
        <w:spacing w:after="105" w:line="259" w:lineRule="auto"/>
        <w:ind w:left="0" w:firstLine="0"/>
        <w:rPr>
          <w:color w:val="auto"/>
          <w:szCs w:val="23"/>
        </w:rPr>
      </w:pPr>
    </w:p>
    <w:p w14:paraId="7DD53B31" w14:textId="77777777" w:rsidR="00AD7C7D" w:rsidRPr="00BC35B3" w:rsidRDefault="00AD7C7D" w:rsidP="00AD7C7D">
      <w:pPr>
        <w:spacing w:after="105" w:line="259" w:lineRule="auto"/>
        <w:rPr>
          <w:color w:val="auto"/>
          <w:szCs w:val="23"/>
          <w:u w:val="single"/>
        </w:rPr>
      </w:pPr>
      <w:r w:rsidRPr="00BC35B3">
        <w:rPr>
          <w:color w:val="auto"/>
          <w:szCs w:val="23"/>
          <w:u w:val="single"/>
        </w:rPr>
        <w:lastRenderedPageBreak/>
        <w:t>Governance factors:</w:t>
      </w:r>
    </w:p>
    <w:p w14:paraId="784CCC2C" w14:textId="77777777"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 xml:space="preserve">Within sustainable funds, Genus excludes companies with severe governance controversies in areas, such as business ethics. </w:t>
      </w:r>
    </w:p>
    <w:p w14:paraId="35419A1D" w14:textId="77777777"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Genus excludes companies that are misaligned with reducing inequalities in sustainable accounts.</w:t>
      </w:r>
    </w:p>
    <w:p w14:paraId="30C21431" w14:textId="77777777" w:rsidR="00AD7C7D" w:rsidRPr="00BC35B3" w:rsidRDefault="00AD7C7D" w:rsidP="00AD7C7D">
      <w:pPr>
        <w:pStyle w:val="ListParagraph"/>
        <w:numPr>
          <w:ilvl w:val="0"/>
          <w:numId w:val="8"/>
        </w:numPr>
        <w:spacing w:after="105" w:line="259" w:lineRule="auto"/>
        <w:rPr>
          <w:color w:val="auto"/>
          <w:szCs w:val="23"/>
        </w:rPr>
      </w:pPr>
      <w:r w:rsidRPr="00BC35B3">
        <w:rPr>
          <w:color w:val="auto"/>
          <w:szCs w:val="23"/>
        </w:rPr>
        <w:t>Through engagement and proxy voting, Genus encourages companies to improve governance practices.</w:t>
      </w:r>
    </w:p>
    <w:p w14:paraId="208D647C" w14:textId="77777777" w:rsidR="00AD7C7D" w:rsidRPr="00BC35B3" w:rsidRDefault="00AD7C7D" w:rsidP="00AD7C7D">
      <w:pPr>
        <w:spacing w:after="105" w:line="259" w:lineRule="auto"/>
        <w:rPr>
          <w:color w:val="auto"/>
          <w:szCs w:val="23"/>
        </w:rPr>
      </w:pPr>
    </w:p>
    <w:p w14:paraId="38B47442" w14:textId="5452D3B8" w:rsidR="00AD7C7D" w:rsidRPr="00BC35B3" w:rsidRDefault="00AD7C7D" w:rsidP="00D466AA">
      <w:pPr>
        <w:spacing w:after="105" w:line="259" w:lineRule="auto"/>
        <w:ind w:left="0" w:firstLine="0"/>
        <w:rPr>
          <w:b/>
          <w:bCs/>
          <w:color w:val="auto"/>
          <w:szCs w:val="23"/>
        </w:rPr>
      </w:pPr>
      <w:r w:rsidRPr="00BC35B3">
        <w:rPr>
          <w:b/>
          <w:bCs/>
          <w:color w:val="auto"/>
          <w:szCs w:val="23"/>
        </w:rPr>
        <w:t>Guidelines on Systemic Sustainability Issues</w:t>
      </w:r>
      <w:r w:rsidR="00DA414C" w:rsidRPr="00BC35B3">
        <w:rPr>
          <w:b/>
          <w:bCs/>
          <w:color w:val="auto"/>
          <w:szCs w:val="23"/>
        </w:rPr>
        <w:t xml:space="preserve"> and Sustainable Outcomes</w:t>
      </w:r>
    </w:p>
    <w:p w14:paraId="533AC7FA" w14:textId="4DDCA31D" w:rsidR="0095730D" w:rsidRPr="00BC35B3" w:rsidRDefault="00AD7C7D" w:rsidP="00995D19">
      <w:pPr>
        <w:spacing w:after="105" w:line="259" w:lineRule="auto"/>
        <w:ind w:left="0" w:firstLine="0"/>
        <w:rPr>
          <w:color w:val="auto"/>
          <w:szCs w:val="23"/>
        </w:rPr>
      </w:pPr>
      <w:r w:rsidRPr="00BC35B3">
        <w:rPr>
          <w:color w:val="auto"/>
          <w:szCs w:val="23"/>
        </w:rPr>
        <w:t>Genus leverages engagement to help make a difference on systemic sustainability issues</w:t>
      </w:r>
      <w:r w:rsidR="0095730D" w:rsidRPr="00BC35B3">
        <w:rPr>
          <w:color w:val="auto"/>
          <w:szCs w:val="23"/>
        </w:rPr>
        <w:t xml:space="preserve"> within all responsible and sustainable funds</w:t>
      </w:r>
      <w:r w:rsidRPr="00BC35B3">
        <w:rPr>
          <w:color w:val="auto"/>
          <w:szCs w:val="23"/>
        </w:rPr>
        <w:t>.  Through stewardship, Genus advocates for decent work, reducing inequalities, climate action, responsible political engagement, and more</w:t>
      </w:r>
      <w:r w:rsidR="00E77A04" w:rsidRPr="00BC35B3">
        <w:rPr>
          <w:color w:val="auto"/>
          <w:szCs w:val="23"/>
        </w:rPr>
        <w:t xml:space="preserve">. </w:t>
      </w:r>
    </w:p>
    <w:p w14:paraId="0A3496C1" w14:textId="6A442E4D" w:rsidR="00995D19" w:rsidRPr="00BC35B3" w:rsidRDefault="0095730D" w:rsidP="00995D19">
      <w:pPr>
        <w:spacing w:after="105" w:line="259" w:lineRule="auto"/>
        <w:ind w:left="0" w:firstLine="0"/>
        <w:rPr>
          <w:color w:val="auto"/>
          <w:szCs w:val="23"/>
          <w:lang w:val="en-CA"/>
        </w:rPr>
      </w:pPr>
      <w:r w:rsidRPr="00BC35B3">
        <w:rPr>
          <w:color w:val="auto"/>
          <w:szCs w:val="23"/>
        </w:rPr>
        <w:t xml:space="preserve">Within sustainable funds, </w:t>
      </w:r>
      <w:r w:rsidR="00995D19" w:rsidRPr="00BC35B3">
        <w:rPr>
          <w:color w:val="auto"/>
          <w:szCs w:val="23"/>
          <w:lang w:val="en-CA"/>
        </w:rPr>
        <w:t>Genus adheres to distinct directives that underpin our strategy for addressing systemic sustainability</w:t>
      </w:r>
      <w:r w:rsidRPr="00BC35B3">
        <w:rPr>
          <w:color w:val="auto"/>
          <w:szCs w:val="23"/>
          <w:lang w:val="en-CA"/>
        </w:rPr>
        <w:t>.</w:t>
      </w:r>
      <w:r w:rsidR="00995D19" w:rsidRPr="00BC35B3">
        <w:rPr>
          <w:color w:val="auto"/>
          <w:szCs w:val="23"/>
          <w:lang w:val="en-CA"/>
        </w:rPr>
        <w:t xml:space="preserve"> These encompass:</w:t>
      </w:r>
    </w:p>
    <w:p w14:paraId="42054446" w14:textId="77E662A1" w:rsidR="00995D19" w:rsidRPr="00BC35B3" w:rsidRDefault="00995D19" w:rsidP="00712BD1">
      <w:pPr>
        <w:pStyle w:val="ListParagraph"/>
        <w:numPr>
          <w:ilvl w:val="0"/>
          <w:numId w:val="10"/>
        </w:numPr>
        <w:spacing w:after="105" w:line="259" w:lineRule="auto"/>
        <w:rPr>
          <w:color w:val="auto"/>
          <w:szCs w:val="23"/>
          <w:lang w:val="en-CA"/>
        </w:rPr>
      </w:pPr>
      <w:r w:rsidRPr="00BC35B3">
        <w:rPr>
          <w:color w:val="auto"/>
          <w:szCs w:val="23"/>
          <w:lang w:val="en-CA"/>
        </w:rPr>
        <w:t xml:space="preserve">Genus' </w:t>
      </w:r>
      <w:r w:rsidR="00AD0336" w:rsidRPr="00BC35B3">
        <w:rPr>
          <w:color w:val="auto"/>
          <w:szCs w:val="23"/>
          <w:lang w:val="en-CA"/>
        </w:rPr>
        <w:t>proprietary</w:t>
      </w:r>
      <w:r w:rsidRPr="00BC35B3">
        <w:rPr>
          <w:color w:val="auto"/>
          <w:szCs w:val="23"/>
          <w:lang w:val="en-CA"/>
        </w:rPr>
        <w:t xml:space="preserve"> ESG Alpha framework, which encompasses aspects such as health and safety, labo</w:t>
      </w:r>
      <w:r w:rsidR="00B85F03" w:rsidRPr="00BC35B3">
        <w:rPr>
          <w:color w:val="auto"/>
          <w:szCs w:val="23"/>
          <w:lang w:val="en-CA"/>
        </w:rPr>
        <w:t>u</w:t>
      </w:r>
      <w:r w:rsidRPr="00BC35B3">
        <w:rPr>
          <w:color w:val="auto"/>
          <w:szCs w:val="23"/>
          <w:lang w:val="en-CA"/>
        </w:rPr>
        <w:t xml:space="preserve">r </w:t>
      </w:r>
      <w:r w:rsidR="00AD0336" w:rsidRPr="00BC35B3">
        <w:rPr>
          <w:color w:val="auto"/>
          <w:szCs w:val="23"/>
          <w:lang w:val="en-CA"/>
        </w:rPr>
        <w:t>management</w:t>
      </w:r>
      <w:r w:rsidRPr="00BC35B3">
        <w:rPr>
          <w:color w:val="auto"/>
          <w:szCs w:val="23"/>
          <w:lang w:val="en-CA"/>
        </w:rPr>
        <w:t>, carbon emissions, and our Genus ESG score.</w:t>
      </w:r>
    </w:p>
    <w:p w14:paraId="754E3498" w14:textId="6C8064C4" w:rsidR="00995D19" w:rsidRPr="00BC35B3" w:rsidRDefault="00CC7A21" w:rsidP="00712BD1">
      <w:pPr>
        <w:pStyle w:val="ListParagraph"/>
        <w:numPr>
          <w:ilvl w:val="0"/>
          <w:numId w:val="10"/>
        </w:numPr>
        <w:spacing w:after="105" w:line="259" w:lineRule="auto"/>
        <w:rPr>
          <w:color w:val="auto"/>
          <w:szCs w:val="23"/>
          <w:lang w:val="en-CA"/>
        </w:rPr>
      </w:pPr>
      <w:r w:rsidRPr="00BC35B3">
        <w:rPr>
          <w:color w:val="auto"/>
          <w:szCs w:val="23"/>
          <w:lang w:val="en-CA"/>
        </w:rPr>
        <w:t>Removal of the top financiers</w:t>
      </w:r>
      <w:r w:rsidR="00995D19" w:rsidRPr="00BC35B3">
        <w:rPr>
          <w:color w:val="auto"/>
          <w:szCs w:val="23"/>
          <w:lang w:val="en-CA"/>
        </w:rPr>
        <w:t xml:space="preserve"> of fossil fuel </w:t>
      </w:r>
      <w:r w:rsidRPr="00BC35B3">
        <w:rPr>
          <w:color w:val="auto"/>
          <w:szCs w:val="23"/>
          <w:lang w:val="en-CA"/>
        </w:rPr>
        <w:t>projects</w:t>
      </w:r>
      <w:r w:rsidR="00995D19" w:rsidRPr="00BC35B3">
        <w:rPr>
          <w:color w:val="auto"/>
          <w:szCs w:val="23"/>
          <w:lang w:val="en-CA"/>
        </w:rPr>
        <w:t xml:space="preserve"> on </w:t>
      </w:r>
      <w:r w:rsidR="00BC5484" w:rsidRPr="00BC35B3">
        <w:rPr>
          <w:color w:val="auto"/>
          <w:szCs w:val="23"/>
          <w:lang w:val="en-CA"/>
        </w:rPr>
        <w:t>around the globe from our investable universe</w:t>
      </w:r>
      <w:r w:rsidR="00995D19" w:rsidRPr="00BC35B3">
        <w:rPr>
          <w:color w:val="auto"/>
          <w:szCs w:val="23"/>
          <w:lang w:val="en-CA"/>
        </w:rPr>
        <w:t>.</w:t>
      </w:r>
    </w:p>
    <w:p w14:paraId="107A0A72" w14:textId="240921DA" w:rsidR="00995D19" w:rsidRPr="00BC35B3" w:rsidRDefault="00995D19" w:rsidP="00D466AA">
      <w:pPr>
        <w:pStyle w:val="ListParagraph"/>
        <w:numPr>
          <w:ilvl w:val="0"/>
          <w:numId w:val="10"/>
        </w:numPr>
        <w:spacing w:after="105" w:line="259" w:lineRule="auto"/>
        <w:rPr>
          <w:color w:val="auto"/>
          <w:szCs w:val="23"/>
          <w:lang w:val="en-CA"/>
        </w:rPr>
      </w:pPr>
      <w:r w:rsidRPr="00BC35B3">
        <w:rPr>
          <w:color w:val="auto"/>
          <w:szCs w:val="23"/>
          <w:lang w:val="en-CA"/>
        </w:rPr>
        <w:t xml:space="preserve">Evaluation of all companies </w:t>
      </w:r>
      <w:r w:rsidR="00BC5484" w:rsidRPr="00BC35B3">
        <w:rPr>
          <w:color w:val="auto"/>
          <w:szCs w:val="23"/>
          <w:lang w:val="en-CA"/>
        </w:rPr>
        <w:t>with controversies</w:t>
      </w:r>
      <w:r w:rsidRPr="00BC35B3">
        <w:rPr>
          <w:color w:val="auto"/>
          <w:szCs w:val="23"/>
          <w:lang w:val="en-CA"/>
        </w:rPr>
        <w:t xml:space="preserve"> concerning indigenous communities across the globe.</w:t>
      </w:r>
      <w:r w:rsidR="000B1FBB" w:rsidRPr="00BC35B3">
        <w:rPr>
          <w:color w:val="auto"/>
          <w:szCs w:val="23"/>
          <w:lang w:val="en-CA"/>
        </w:rPr>
        <w:t xml:space="preserve"> </w:t>
      </w:r>
    </w:p>
    <w:p w14:paraId="61F9EC91" w14:textId="3095A85F" w:rsidR="00782715" w:rsidRPr="00BC35B3" w:rsidRDefault="00782715" w:rsidP="00D466AA">
      <w:pPr>
        <w:pStyle w:val="ListParagraph"/>
        <w:numPr>
          <w:ilvl w:val="0"/>
          <w:numId w:val="10"/>
        </w:numPr>
        <w:spacing w:after="105" w:line="259" w:lineRule="auto"/>
        <w:rPr>
          <w:color w:val="auto"/>
          <w:szCs w:val="23"/>
          <w:lang w:val="en-CA"/>
        </w:rPr>
      </w:pPr>
      <w:r w:rsidRPr="00BC35B3">
        <w:rPr>
          <w:color w:val="auto"/>
          <w:szCs w:val="23"/>
          <w:lang w:val="en-CA"/>
        </w:rPr>
        <w:t>Only investing in companies that are neutral or positive when it comes to reducing inequalities</w:t>
      </w:r>
      <w:r w:rsidR="0095730D" w:rsidRPr="00BC35B3">
        <w:rPr>
          <w:color w:val="auto"/>
          <w:szCs w:val="23"/>
          <w:lang w:val="en-CA"/>
        </w:rPr>
        <w:t>.</w:t>
      </w:r>
    </w:p>
    <w:p w14:paraId="7C6C0EE6" w14:textId="15E12116" w:rsidR="00DA414C" w:rsidRPr="00BC35B3" w:rsidRDefault="00DA414C" w:rsidP="00621686">
      <w:pPr>
        <w:spacing w:after="105" w:line="259" w:lineRule="auto"/>
        <w:rPr>
          <w:color w:val="auto"/>
          <w:szCs w:val="23"/>
          <w:lang w:val="en-CA"/>
        </w:rPr>
      </w:pPr>
      <w:r w:rsidRPr="00BC35B3">
        <w:rPr>
          <w:color w:val="auto"/>
          <w:szCs w:val="23"/>
          <w:lang w:val="en-CA"/>
        </w:rPr>
        <w:t>Regarding outcomes, Genus measures sustainable performance and outcomes using a variety of metrics.  Clients will often have an outcome or measurement that they are focused on so we will report on these outcomes to individual clients.  All clients receive a measurement on carbon intensity, the Genus Net Impact Score (based on SDGs), and a third party ESG score</w:t>
      </w:r>
      <w:r w:rsidR="00A321F8">
        <w:rPr>
          <w:rStyle w:val="FootnoteReference"/>
          <w:color w:val="auto"/>
          <w:szCs w:val="23"/>
          <w:lang w:val="en-CA"/>
        </w:rPr>
        <w:footnoteReference w:id="2"/>
      </w:r>
      <w:r w:rsidRPr="00BC35B3">
        <w:rPr>
          <w:color w:val="auto"/>
          <w:szCs w:val="23"/>
          <w:lang w:val="en-CA"/>
        </w:rPr>
        <w:t xml:space="preserve">.  </w:t>
      </w:r>
    </w:p>
    <w:p w14:paraId="2FF6FDC2" w14:textId="635EC048" w:rsidR="00E226A1" w:rsidRPr="00BC35B3" w:rsidRDefault="00E226A1" w:rsidP="00995D19">
      <w:pPr>
        <w:spacing w:after="105" w:line="259" w:lineRule="auto"/>
        <w:ind w:left="0" w:firstLine="0"/>
        <w:rPr>
          <w:color w:val="auto"/>
          <w:szCs w:val="23"/>
        </w:rPr>
      </w:pPr>
    </w:p>
    <w:p w14:paraId="253A6D43" w14:textId="076F6C72" w:rsidR="002A4184" w:rsidRPr="00BC35B3" w:rsidRDefault="002A4184" w:rsidP="00AD7C7D">
      <w:pPr>
        <w:spacing w:after="105" w:line="259" w:lineRule="auto"/>
        <w:ind w:left="0" w:firstLine="0"/>
        <w:rPr>
          <w:b/>
          <w:bCs/>
          <w:color w:val="auto"/>
        </w:rPr>
      </w:pPr>
      <w:r w:rsidRPr="00BC35B3">
        <w:rPr>
          <w:b/>
          <w:bCs/>
          <w:color w:val="auto"/>
        </w:rPr>
        <w:t xml:space="preserve">Guidelines </w:t>
      </w:r>
      <w:r w:rsidR="002A4E9C" w:rsidRPr="00BC35B3">
        <w:rPr>
          <w:b/>
          <w:bCs/>
          <w:color w:val="auto"/>
        </w:rPr>
        <w:t>on Private Alternatives</w:t>
      </w:r>
    </w:p>
    <w:p w14:paraId="289EA4D6" w14:textId="7E167F0C" w:rsidR="00414188" w:rsidRPr="00BC35B3" w:rsidRDefault="002A4E9C" w:rsidP="005028FB">
      <w:pPr>
        <w:pStyle w:val="ListParagraph"/>
        <w:numPr>
          <w:ilvl w:val="0"/>
          <w:numId w:val="8"/>
        </w:numPr>
        <w:spacing w:after="105" w:line="259" w:lineRule="auto"/>
        <w:rPr>
          <w:b/>
          <w:bCs/>
          <w:color w:val="auto"/>
        </w:rPr>
      </w:pPr>
      <w:r w:rsidRPr="00BC35B3">
        <w:rPr>
          <w:color w:val="auto"/>
        </w:rPr>
        <w:t xml:space="preserve">Genus invests solely in </w:t>
      </w:r>
      <w:r w:rsidR="00782715" w:rsidRPr="00BC35B3">
        <w:rPr>
          <w:color w:val="auto"/>
        </w:rPr>
        <w:t>products or companies that are</w:t>
      </w:r>
      <w:r w:rsidR="00497D2D" w:rsidRPr="00BC35B3">
        <w:rPr>
          <w:color w:val="auto"/>
        </w:rPr>
        <w:t>:</w:t>
      </w:r>
    </w:p>
    <w:p w14:paraId="7BE65284" w14:textId="1BB24FDA" w:rsidR="005028FB" w:rsidRPr="00BC35B3" w:rsidRDefault="005028FB" w:rsidP="00414188">
      <w:pPr>
        <w:pStyle w:val="ListParagraph"/>
        <w:numPr>
          <w:ilvl w:val="1"/>
          <w:numId w:val="8"/>
        </w:numPr>
        <w:spacing w:after="105" w:line="259" w:lineRule="auto"/>
        <w:rPr>
          <w:b/>
          <w:bCs/>
          <w:color w:val="auto"/>
        </w:rPr>
      </w:pPr>
      <w:r w:rsidRPr="00BC35B3">
        <w:rPr>
          <w:color w:val="auto"/>
        </w:rPr>
        <w:t>focused on supporting the achievement of UN Sustainable Development Goals</w:t>
      </w:r>
      <w:r w:rsidR="003233DC" w:rsidRPr="00BC35B3">
        <w:rPr>
          <w:color w:val="auto"/>
        </w:rPr>
        <w:t>,</w:t>
      </w:r>
    </w:p>
    <w:p w14:paraId="6BCB5702" w14:textId="7570EEB8" w:rsidR="00414188" w:rsidRPr="00BC35B3" w:rsidRDefault="007851A4" w:rsidP="00414188">
      <w:pPr>
        <w:pStyle w:val="ListParagraph"/>
        <w:numPr>
          <w:ilvl w:val="1"/>
          <w:numId w:val="8"/>
        </w:numPr>
        <w:spacing w:after="105" w:line="259" w:lineRule="auto"/>
        <w:rPr>
          <w:b/>
          <w:bCs/>
          <w:color w:val="auto"/>
        </w:rPr>
      </w:pPr>
      <w:r w:rsidRPr="00BC35B3">
        <w:rPr>
          <w:color w:val="auto"/>
        </w:rPr>
        <w:t xml:space="preserve">that support better outcomes for society, including but not limited to improved environmental </w:t>
      </w:r>
      <w:r w:rsidR="00E4670D" w:rsidRPr="00BC35B3">
        <w:rPr>
          <w:color w:val="auto"/>
        </w:rPr>
        <w:t xml:space="preserve">and </w:t>
      </w:r>
      <w:r w:rsidRPr="00BC35B3">
        <w:rPr>
          <w:color w:val="auto"/>
        </w:rPr>
        <w:t>social outcomes</w:t>
      </w:r>
      <w:r w:rsidR="003233DC" w:rsidRPr="00BC35B3">
        <w:rPr>
          <w:color w:val="auto"/>
        </w:rPr>
        <w:t>;</w:t>
      </w:r>
      <w:r w:rsidR="00E4670D" w:rsidRPr="00BC35B3">
        <w:rPr>
          <w:color w:val="auto"/>
        </w:rPr>
        <w:t xml:space="preserve"> and</w:t>
      </w:r>
    </w:p>
    <w:p w14:paraId="67B43B64" w14:textId="1A04D9DE" w:rsidR="005028FB" w:rsidRPr="006163FE" w:rsidRDefault="007551C0" w:rsidP="00F8179F">
      <w:pPr>
        <w:pStyle w:val="ListParagraph"/>
        <w:numPr>
          <w:ilvl w:val="1"/>
          <w:numId w:val="8"/>
        </w:numPr>
        <w:spacing w:after="105" w:line="259" w:lineRule="auto"/>
        <w:rPr>
          <w:b/>
          <w:bCs/>
          <w:color w:val="auto"/>
        </w:rPr>
      </w:pPr>
      <w:r w:rsidRPr="00BC35B3">
        <w:rPr>
          <w:color w:val="auto"/>
        </w:rPr>
        <w:t xml:space="preserve">that </w:t>
      </w:r>
      <w:r w:rsidR="00E4670D" w:rsidRPr="00BC35B3">
        <w:rPr>
          <w:color w:val="auto"/>
        </w:rPr>
        <w:t xml:space="preserve">support the development of </w:t>
      </w:r>
      <w:r w:rsidR="00580049" w:rsidRPr="00BC35B3">
        <w:rPr>
          <w:color w:val="auto"/>
        </w:rPr>
        <w:t xml:space="preserve">a financial ecosystem </w:t>
      </w:r>
      <w:r w:rsidRPr="00BC35B3">
        <w:rPr>
          <w:color w:val="auto"/>
        </w:rPr>
        <w:t xml:space="preserve">that </w:t>
      </w:r>
      <w:r w:rsidR="00393EAF" w:rsidRPr="00BC35B3">
        <w:rPr>
          <w:color w:val="auto"/>
        </w:rPr>
        <w:t xml:space="preserve">bolsters financial inclusion, stakeholder value creation, and </w:t>
      </w:r>
      <w:r w:rsidR="008C5F0D" w:rsidRPr="00BC35B3">
        <w:rPr>
          <w:color w:val="auto"/>
        </w:rPr>
        <w:t xml:space="preserve">supports diversity, equity, and inclusion. </w:t>
      </w:r>
    </w:p>
    <w:p w14:paraId="33DEC889" w14:textId="77777777" w:rsidR="006163FE" w:rsidRDefault="006163FE" w:rsidP="006163FE">
      <w:pPr>
        <w:spacing w:after="105" w:line="259" w:lineRule="auto"/>
        <w:rPr>
          <w:b/>
          <w:bCs/>
          <w:color w:val="auto"/>
        </w:rPr>
      </w:pPr>
    </w:p>
    <w:p w14:paraId="2D672F62" w14:textId="77777777" w:rsidR="006163FE" w:rsidRPr="006163FE" w:rsidRDefault="006163FE" w:rsidP="006163FE">
      <w:pPr>
        <w:spacing w:after="105" w:line="259" w:lineRule="auto"/>
        <w:rPr>
          <w:b/>
          <w:bCs/>
          <w:color w:val="auto"/>
        </w:rPr>
      </w:pPr>
    </w:p>
    <w:p w14:paraId="79572469" w14:textId="77777777" w:rsidR="00E0622F" w:rsidRDefault="00905DE4">
      <w:pPr>
        <w:pStyle w:val="Heading2"/>
        <w:ind w:left="96"/>
      </w:pPr>
      <w:r>
        <w:lastRenderedPageBreak/>
        <w:t xml:space="preserve">Engagement </w:t>
      </w:r>
    </w:p>
    <w:p w14:paraId="1F1CB932" w14:textId="77777777" w:rsidR="00E0622F" w:rsidRDefault="00905DE4">
      <w:pPr>
        <w:spacing w:after="0" w:line="259" w:lineRule="auto"/>
        <w:ind w:left="0" w:firstLine="0"/>
      </w:pPr>
      <w:r>
        <w:rPr>
          <w:b/>
          <w:sz w:val="20"/>
        </w:rPr>
        <w:t xml:space="preserve"> </w:t>
      </w:r>
    </w:p>
    <w:p w14:paraId="2BF97FF8" w14:textId="77777777" w:rsidR="00E0622F" w:rsidRDefault="00905DE4">
      <w:pPr>
        <w:spacing w:after="0"/>
        <w:ind w:left="95" w:right="53"/>
      </w:pPr>
      <w:r>
        <w:t xml:space="preserve">Active responsible investing also requires active ownership. Genus Capital Management recognizes the importance of engagement in mitigating risks and increasing shareholder value. It is a critical aspect of our approach. </w:t>
      </w:r>
    </w:p>
    <w:p w14:paraId="1DAF078A" w14:textId="77777777" w:rsidR="00E0622F" w:rsidRDefault="00905DE4">
      <w:pPr>
        <w:spacing w:after="0" w:line="259" w:lineRule="auto"/>
        <w:ind w:left="0" w:firstLine="0"/>
      </w:pPr>
      <w:r>
        <w:rPr>
          <w:sz w:val="20"/>
        </w:rPr>
        <w:t xml:space="preserve"> </w:t>
      </w:r>
    </w:p>
    <w:p w14:paraId="5EC106AF" w14:textId="77777777" w:rsidR="00E0622F" w:rsidRDefault="00905DE4">
      <w:pPr>
        <w:spacing w:after="0"/>
        <w:ind w:left="95" w:right="53"/>
      </w:pPr>
      <w:r>
        <w:t>We look at the actions, policies, and outcomes of the companies in our portfolios and raise environmental, social, or governance issues directly or through 3</w:t>
      </w:r>
      <w:r>
        <w:rPr>
          <w:vertAlign w:val="superscript"/>
        </w:rPr>
        <w:t xml:space="preserve">rd </w:t>
      </w:r>
      <w:r>
        <w:t xml:space="preserve">party vendors specializing in engagement. In some circumstances, we may engage a specific company on an issue </w:t>
      </w:r>
      <w:proofErr w:type="gramStart"/>
      <w:r>
        <w:t>in order to</w:t>
      </w:r>
      <w:proofErr w:type="gramEnd"/>
      <w:r>
        <w:t xml:space="preserve"> influence their future activities. Alternatively, we may decide on target themes or areas of ESG that we would like to improve in our portfolio and then reach out to companies needing to progress in these areas. </w:t>
      </w:r>
    </w:p>
    <w:p w14:paraId="2E2A4157" w14:textId="77777777" w:rsidR="00E0622F" w:rsidRDefault="00905DE4">
      <w:pPr>
        <w:spacing w:after="0" w:line="259" w:lineRule="auto"/>
        <w:ind w:left="0" w:firstLine="0"/>
      </w:pPr>
      <w:r>
        <w:rPr>
          <w:sz w:val="20"/>
        </w:rPr>
        <w:t xml:space="preserve"> </w:t>
      </w:r>
    </w:p>
    <w:p w14:paraId="26197150" w14:textId="77777777" w:rsidR="00E0622F" w:rsidRDefault="00905DE4">
      <w:pPr>
        <w:ind w:left="95" w:right="53"/>
      </w:pPr>
      <w:r>
        <w:t xml:space="preserve">Genus Capital Management has joined in collaborative efforts with other firms and asset owners as an effective way to engage companies and we may continue to use this method in the future. </w:t>
      </w:r>
    </w:p>
    <w:p w14:paraId="391CC136" w14:textId="77777777" w:rsidR="00E0622F" w:rsidRDefault="00905DE4">
      <w:pPr>
        <w:spacing w:after="108" w:line="259" w:lineRule="auto"/>
        <w:ind w:left="0" w:firstLine="0"/>
      </w:pPr>
      <w:r>
        <w:rPr>
          <w:sz w:val="26"/>
        </w:rPr>
        <w:t xml:space="preserve"> </w:t>
      </w:r>
    </w:p>
    <w:p w14:paraId="1F2D0278" w14:textId="77777777" w:rsidR="00E0622F" w:rsidRDefault="00905DE4">
      <w:pPr>
        <w:pStyle w:val="Heading2"/>
        <w:ind w:left="96"/>
      </w:pPr>
      <w:r>
        <w:t xml:space="preserve">Proxy Voting </w:t>
      </w:r>
    </w:p>
    <w:p w14:paraId="1CC484DF" w14:textId="77777777" w:rsidR="00E0622F" w:rsidRDefault="00905DE4">
      <w:pPr>
        <w:spacing w:after="0" w:line="259" w:lineRule="auto"/>
        <w:ind w:left="0" w:firstLine="0"/>
      </w:pPr>
      <w:r>
        <w:rPr>
          <w:b/>
          <w:sz w:val="20"/>
        </w:rPr>
        <w:t xml:space="preserve"> </w:t>
      </w:r>
    </w:p>
    <w:p w14:paraId="3A2A193B" w14:textId="4C4AC4F3" w:rsidR="00E0622F" w:rsidRDefault="00905DE4">
      <w:pPr>
        <w:spacing w:after="232"/>
        <w:ind w:left="95" w:right="53"/>
      </w:pPr>
      <w:r>
        <w:t>Genus Capital Management votes proxies in a manner that is aligned with the interests of our funds and clients</w:t>
      </w:r>
      <w:r w:rsidR="006146A6">
        <w:t xml:space="preserve"> </w:t>
      </w:r>
      <w:r w:rsidR="006146A6" w:rsidRPr="002F51F4">
        <w:rPr>
          <w:color w:val="auto"/>
        </w:rPr>
        <w:t>by following the guidelines set by SHARE</w:t>
      </w:r>
      <w:r w:rsidRPr="002F51F4">
        <w:rPr>
          <w:color w:val="auto"/>
        </w:rPr>
        <w:t xml:space="preserve">. We </w:t>
      </w:r>
      <w:r>
        <w:t xml:space="preserve">will generally support proposals with a strong consideration for sustainability factors and long-term shareholder value. However, each proposal will be considered individually. </w:t>
      </w:r>
    </w:p>
    <w:p w14:paraId="7C16CB70" w14:textId="77777777" w:rsidR="00E0622F" w:rsidRDefault="00905DE4">
      <w:pPr>
        <w:ind w:left="95" w:right="53"/>
      </w:pPr>
      <w:r>
        <w:t xml:space="preserve">Regular reporting on proxy voting is available to clients if requested. </w:t>
      </w:r>
    </w:p>
    <w:p w14:paraId="0A90C1C9" w14:textId="77777777" w:rsidR="00172D82" w:rsidRDefault="00172D82">
      <w:pPr>
        <w:ind w:left="95" w:right="53"/>
      </w:pPr>
    </w:p>
    <w:p w14:paraId="1187942E" w14:textId="3A52A2BC" w:rsidR="00E0622F" w:rsidRDefault="00E0622F">
      <w:pPr>
        <w:spacing w:after="105" w:line="259" w:lineRule="auto"/>
        <w:ind w:left="0" w:firstLine="0"/>
      </w:pPr>
    </w:p>
    <w:p w14:paraId="194C725E" w14:textId="77777777" w:rsidR="00E0622F" w:rsidRDefault="00905DE4">
      <w:pPr>
        <w:pStyle w:val="Heading2"/>
        <w:ind w:left="96"/>
      </w:pPr>
      <w:r>
        <w:t xml:space="preserve">Promoting Responsible Investing </w:t>
      </w:r>
    </w:p>
    <w:p w14:paraId="24CC48D5" w14:textId="77777777" w:rsidR="00E0622F" w:rsidRDefault="00905DE4">
      <w:pPr>
        <w:spacing w:after="0" w:line="259" w:lineRule="auto"/>
        <w:ind w:left="0" w:firstLine="0"/>
      </w:pPr>
      <w:r>
        <w:rPr>
          <w:b/>
          <w:sz w:val="20"/>
        </w:rPr>
        <w:t xml:space="preserve"> </w:t>
      </w:r>
    </w:p>
    <w:p w14:paraId="4C12CE32" w14:textId="7EF102A8" w:rsidR="00E0622F" w:rsidRDefault="00905DE4">
      <w:pPr>
        <w:spacing w:after="0" w:line="217" w:lineRule="auto"/>
        <w:ind w:left="101" w:right="319" w:firstLine="0"/>
        <w:jc w:val="both"/>
      </w:pPr>
      <w:r>
        <w:t xml:space="preserve">We regularly publish reports on sustainable investing, host seminars, educate clients, and </w:t>
      </w:r>
      <w:r w:rsidRPr="00191582">
        <w:rPr>
          <w:color w:val="auto"/>
        </w:rPr>
        <w:t xml:space="preserve">talk to the media </w:t>
      </w:r>
      <w:proofErr w:type="gramStart"/>
      <w:r w:rsidRPr="00191582">
        <w:rPr>
          <w:color w:val="auto"/>
        </w:rPr>
        <w:t>in order to</w:t>
      </w:r>
      <w:proofErr w:type="gramEnd"/>
      <w:r w:rsidRPr="00191582">
        <w:rPr>
          <w:color w:val="auto"/>
        </w:rPr>
        <w:t xml:space="preserve"> promote our responsible investing practice and the movement to responsible investing as a whole. Every year we also disclose carbon emissions data to our clients and the public</w:t>
      </w:r>
      <w:r w:rsidR="000A57B1" w:rsidRPr="00191582">
        <w:rPr>
          <w:color w:val="auto"/>
        </w:rPr>
        <w:t xml:space="preserve"> for our </w:t>
      </w:r>
      <w:r w:rsidR="002F51F4" w:rsidRPr="00191582">
        <w:rPr>
          <w:color w:val="auto"/>
        </w:rPr>
        <w:t xml:space="preserve">Fossil Free </w:t>
      </w:r>
      <w:proofErr w:type="spellStart"/>
      <w:r w:rsidR="002F51F4" w:rsidRPr="00191582">
        <w:rPr>
          <w:color w:val="auto"/>
        </w:rPr>
        <w:t>CanGlobe</w:t>
      </w:r>
      <w:proofErr w:type="spellEnd"/>
      <w:r w:rsidR="002F51F4" w:rsidRPr="00191582">
        <w:rPr>
          <w:color w:val="auto"/>
        </w:rPr>
        <w:t xml:space="preserve"> Equity, Fossil Free Dividend Equity, and Fossil Free High Impact Equity funds. </w:t>
      </w:r>
    </w:p>
    <w:p w14:paraId="087D448F" w14:textId="77777777" w:rsidR="00E0622F" w:rsidRDefault="00905DE4">
      <w:pPr>
        <w:spacing w:after="0" w:line="259" w:lineRule="auto"/>
        <w:ind w:left="0" w:firstLine="0"/>
      </w:pPr>
      <w:r>
        <w:rPr>
          <w:sz w:val="20"/>
        </w:rPr>
        <w:t xml:space="preserve"> </w:t>
      </w:r>
    </w:p>
    <w:p w14:paraId="48BBE71C" w14:textId="77777777" w:rsidR="00E0622F" w:rsidRDefault="00905DE4">
      <w:pPr>
        <w:ind w:left="95" w:right="53"/>
      </w:pPr>
      <w:r>
        <w:t xml:space="preserve">Genus Capital Management is an active participant in organizations and industry working groups that promote the advancement of responsible investing. </w:t>
      </w:r>
    </w:p>
    <w:p w14:paraId="5FA60066" w14:textId="667EE2A0" w:rsidR="00C15BE6" w:rsidRPr="00C15BE6" w:rsidRDefault="00905DE4" w:rsidP="00C15BE6">
      <w:pPr>
        <w:tabs>
          <w:tab w:val="left" w:pos="2445"/>
        </w:tabs>
        <w:spacing w:after="62" w:line="259" w:lineRule="auto"/>
        <w:ind w:left="0" w:firstLine="0"/>
        <w:rPr>
          <w:sz w:val="26"/>
        </w:rPr>
      </w:pPr>
      <w:r>
        <w:rPr>
          <w:sz w:val="26"/>
        </w:rPr>
        <w:t xml:space="preserve"> </w:t>
      </w:r>
      <w:r w:rsidR="00C15BE6">
        <w:rPr>
          <w:sz w:val="26"/>
        </w:rPr>
        <w:tab/>
      </w:r>
    </w:p>
    <w:p w14:paraId="2CC99392" w14:textId="77777777" w:rsidR="00E0622F" w:rsidRDefault="00905DE4" w:rsidP="00621686">
      <w:pPr>
        <w:spacing w:after="0" w:line="259" w:lineRule="auto"/>
        <w:ind w:left="0" w:firstLine="0"/>
      </w:pPr>
      <w:r>
        <w:rPr>
          <w:b/>
        </w:rPr>
        <w:t xml:space="preserve"> </w:t>
      </w:r>
    </w:p>
    <w:p w14:paraId="4C2F112B" w14:textId="77777777" w:rsidR="00E0622F" w:rsidRDefault="00905DE4">
      <w:pPr>
        <w:pStyle w:val="Heading2"/>
        <w:ind w:left="96"/>
      </w:pPr>
      <w:r>
        <w:t xml:space="preserve">Summary </w:t>
      </w:r>
    </w:p>
    <w:p w14:paraId="44B28340" w14:textId="77777777" w:rsidR="00E0622F" w:rsidRDefault="00905DE4">
      <w:pPr>
        <w:spacing w:after="71" w:line="259" w:lineRule="auto"/>
        <w:ind w:left="0" w:firstLine="0"/>
      </w:pPr>
      <w:r>
        <w:rPr>
          <w:sz w:val="22"/>
        </w:rPr>
        <w:t xml:space="preserve"> </w:t>
      </w:r>
    </w:p>
    <w:p w14:paraId="690EFD1B" w14:textId="42B77142" w:rsidR="00BA0AA8" w:rsidRDefault="00905DE4" w:rsidP="003E1868">
      <w:pPr>
        <w:ind w:left="95" w:right="53"/>
      </w:pPr>
      <w:r>
        <w:t xml:space="preserve">Genus Capital Management is committed to responsible investing. Our firm uses the key principles when making decisions on investments, engagement companies, proxy voting, and promotion. We believe that considering all risks and opportunities, including ones related to ESG, is critical to best serving our clients. </w:t>
      </w:r>
    </w:p>
    <w:sectPr w:rsidR="00BA0AA8">
      <w:headerReference w:type="default" r:id="rId11"/>
      <w:pgSz w:w="12240" w:h="16339"/>
      <w:pgMar w:top="567" w:right="1322" w:bottom="5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6F06" w14:textId="77777777" w:rsidR="0094056D" w:rsidRDefault="0094056D" w:rsidP="00782715">
      <w:pPr>
        <w:spacing w:after="0" w:line="240" w:lineRule="auto"/>
      </w:pPr>
      <w:r>
        <w:separator/>
      </w:r>
    </w:p>
  </w:endnote>
  <w:endnote w:type="continuationSeparator" w:id="0">
    <w:p w14:paraId="64EBA93A" w14:textId="77777777" w:rsidR="0094056D" w:rsidRDefault="0094056D" w:rsidP="0078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67C6" w14:textId="77777777" w:rsidR="0094056D" w:rsidRDefault="0094056D" w:rsidP="00782715">
      <w:pPr>
        <w:spacing w:after="0" w:line="240" w:lineRule="auto"/>
      </w:pPr>
      <w:r>
        <w:separator/>
      </w:r>
    </w:p>
  </w:footnote>
  <w:footnote w:type="continuationSeparator" w:id="0">
    <w:p w14:paraId="3BFD3996" w14:textId="77777777" w:rsidR="0094056D" w:rsidRDefault="0094056D" w:rsidP="00782715">
      <w:pPr>
        <w:spacing w:after="0" w:line="240" w:lineRule="auto"/>
      </w:pPr>
      <w:r>
        <w:continuationSeparator/>
      </w:r>
    </w:p>
  </w:footnote>
  <w:footnote w:id="1">
    <w:p w14:paraId="4D6B5E97" w14:textId="13E63B1E" w:rsidR="00CD0184" w:rsidRDefault="00CD0184">
      <w:pPr>
        <w:pStyle w:val="FootnoteText"/>
        <w:rPr>
          <w:color w:val="auto"/>
        </w:rPr>
      </w:pPr>
      <w:r w:rsidRPr="00BB7621">
        <w:rPr>
          <w:rStyle w:val="FootnoteReference"/>
          <w:color w:val="auto"/>
        </w:rPr>
        <w:footnoteRef/>
      </w:r>
      <w:r w:rsidRPr="00BB7621">
        <w:rPr>
          <w:color w:val="auto"/>
        </w:rPr>
        <w:t xml:space="preserve"> </w:t>
      </w:r>
      <w:r w:rsidR="00FA08B6">
        <w:rPr>
          <w:color w:val="auto"/>
        </w:rPr>
        <w:t xml:space="preserve">Fossil Free </w:t>
      </w:r>
      <w:proofErr w:type="spellStart"/>
      <w:r w:rsidR="00FA08B6">
        <w:rPr>
          <w:color w:val="auto"/>
        </w:rPr>
        <w:t>CanGlobe</w:t>
      </w:r>
      <w:proofErr w:type="spellEnd"/>
      <w:r w:rsidR="00FA08B6">
        <w:rPr>
          <w:color w:val="auto"/>
        </w:rPr>
        <w:t xml:space="preserve"> Equity, Fossil Free Dividend Equity</w:t>
      </w:r>
      <w:r w:rsidR="00C83212">
        <w:rPr>
          <w:color w:val="auto"/>
        </w:rPr>
        <w:t xml:space="preserve">, Dividend Equity, </w:t>
      </w:r>
      <w:proofErr w:type="spellStart"/>
      <w:r w:rsidR="00C83212">
        <w:rPr>
          <w:color w:val="auto"/>
        </w:rPr>
        <w:t>CanGlobe</w:t>
      </w:r>
      <w:proofErr w:type="spellEnd"/>
      <w:r w:rsidR="00C83212">
        <w:rPr>
          <w:color w:val="auto"/>
        </w:rPr>
        <w:t xml:space="preserve"> Equity</w:t>
      </w:r>
      <w:r w:rsidR="00FA08B6">
        <w:rPr>
          <w:color w:val="auto"/>
        </w:rPr>
        <w:t xml:space="preserve"> – Benchmark: 25% TSX/75% MSCI World</w:t>
      </w:r>
    </w:p>
    <w:p w14:paraId="6C8FEC1E" w14:textId="6FA7383A" w:rsidR="00FA08B6" w:rsidRDefault="00FA08B6">
      <w:pPr>
        <w:pStyle w:val="FootnoteText"/>
        <w:rPr>
          <w:color w:val="auto"/>
        </w:rPr>
      </w:pPr>
      <w:r>
        <w:rPr>
          <w:color w:val="auto"/>
        </w:rPr>
        <w:t>Fossil Free High Impact Equity – Benchmark: MSCI World</w:t>
      </w:r>
    </w:p>
    <w:p w14:paraId="1CC629CA" w14:textId="2A1B775E" w:rsidR="00C83212" w:rsidRDefault="00C83212">
      <w:pPr>
        <w:pStyle w:val="FootnoteText"/>
        <w:rPr>
          <w:color w:val="auto"/>
        </w:rPr>
      </w:pPr>
      <w:r>
        <w:rPr>
          <w:color w:val="auto"/>
        </w:rPr>
        <w:t>Emerging Markets – Benchmark: MSCI Emerging Markets Index</w:t>
      </w:r>
    </w:p>
    <w:p w14:paraId="11E408F7" w14:textId="09F456BD" w:rsidR="00C83212" w:rsidRDefault="00DA1B1B">
      <w:pPr>
        <w:pStyle w:val="FootnoteText"/>
        <w:rPr>
          <w:color w:val="auto"/>
        </w:rPr>
      </w:pPr>
      <w:r>
        <w:rPr>
          <w:color w:val="auto"/>
        </w:rPr>
        <w:t>Canadian Alpha – Benchmark: S&amp;P TSX Composite Index</w:t>
      </w:r>
    </w:p>
    <w:p w14:paraId="6CF6929C" w14:textId="3C89CB1C" w:rsidR="00DA1B1B" w:rsidRDefault="00DA1B1B">
      <w:pPr>
        <w:pStyle w:val="FootnoteText"/>
        <w:rPr>
          <w:color w:val="auto"/>
        </w:rPr>
      </w:pPr>
      <w:r>
        <w:rPr>
          <w:color w:val="auto"/>
        </w:rPr>
        <w:t xml:space="preserve">Global Alpha – Benchmark: MSCI World Index </w:t>
      </w:r>
    </w:p>
    <w:p w14:paraId="308EBE55" w14:textId="77777777" w:rsidR="00DA1B1B" w:rsidRDefault="00DA1B1B">
      <w:pPr>
        <w:pStyle w:val="FootnoteText"/>
        <w:rPr>
          <w:color w:val="auto"/>
        </w:rPr>
      </w:pPr>
    </w:p>
    <w:p w14:paraId="46E82B01" w14:textId="77777777" w:rsidR="00E859F2" w:rsidRDefault="00E859F2">
      <w:pPr>
        <w:pStyle w:val="FootnoteText"/>
        <w:rPr>
          <w:color w:val="auto"/>
        </w:rPr>
      </w:pPr>
    </w:p>
    <w:p w14:paraId="0D9FF9AF" w14:textId="77777777" w:rsidR="00FA08B6" w:rsidRDefault="00FA08B6">
      <w:pPr>
        <w:pStyle w:val="FootnoteText"/>
      </w:pPr>
    </w:p>
  </w:footnote>
  <w:footnote w:id="2">
    <w:p w14:paraId="78BF17AA" w14:textId="13F6BA11" w:rsidR="00A321F8" w:rsidRDefault="00A321F8">
      <w:pPr>
        <w:pStyle w:val="FootnoteText"/>
      </w:pPr>
      <w:r>
        <w:rPr>
          <w:rStyle w:val="FootnoteReference"/>
        </w:rPr>
        <w:footnoteRef/>
      </w:r>
      <w:r>
        <w:t xml:space="preserve"> Provided by MSCI ESG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F389" w14:textId="77777777" w:rsidR="00782715" w:rsidRDefault="00782715" w:rsidP="00782715">
    <w:pPr>
      <w:tabs>
        <w:tab w:val="center" w:pos="4790"/>
        <w:tab w:val="right" w:pos="9578"/>
      </w:tabs>
      <w:spacing w:after="42" w:line="259" w:lineRule="auto"/>
      <w:ind w:left="-15" w:right="-15" w:firstLine="0"/>
    </w:pPr>
    <w:r>
      <w:rPr>
        <w:noProof/>
      </w:rPr>
      <w:drawing>
        <wp:inline distT="0" distB="0" distL="0" distR="0" wp14:anchorId="5A7FD484" wp14:editId="7508AEA1">
          <wp:extent cx="1333438" cy="579755"/>
          <wp:effectExtent l="0" t="0" r="0" b="0"/>
          <wp:docPr id="592417796" name="Picture 592417796" descr="A blue and grey logo&#10;&#10;Description automatically generated"/>
          <wp:cNvGraphicFramePr/>
          <a:graphic xmlns:a="http://schemas.openxmlformats.org/drawingml/2006/main">
            <a:graphicData uri="http://schemas.openxmlformats.org/drawingml/2006/picture">
              <pic:pic xmlns:pic="http://schemas.openxmlformats.org/drawingml/2006/picture">
                <pic:nvPicPr>
                  <pic:cNvPr id="592417796" name="Picture 592417796" descr="A blue and grey logo&#10;&#10;Description automatically generated"/>
                  <pic:cNvPicPr/>
                </pic:nvPicPr>
                <pic:blipFill>
                  <a:blip r:embed="rId1"/>
                  <a:stretch>
                    <a:fillRect/>
                  </a:stretch>
                </pic:blipFill>
                <pic:spPr>
                  <a:xfrm>
                    <a:off x="0" y="0"/>
                    <a:ext cx="1333438" cy="579755"/>
                  </a:xfrm>
                  <a:prstGeom prst="rect">
                    <a:avLst/>
                  </a:prstGeom>
                </pic:spPr>
              </pic:pic>
            </a:graphicData>
          </a:graphic>
        </wp:inline>
      </w:drawing>
    </w:r>
    <w:r>
      <w:rPr>
        <w:rFonts w:ascii="Times New Roman" w:eastAsia="Times New Roman" w:hAnsi="Times New Roman" w:cs="Times New Roman"/>
        <w:color w:val="003DA5"/>
        <w:sz w:val="22"/>
      </w:rPr>
      <w:t xml:space="preserve"> </w:t>
    </w:r>
    <w:r>
      <w:rPr>
        <w:rFonts w:ascii="Times New Roman" w:eastAsia="Times New Roman" w:hAnsi="Times New Roman" w:cs="Times New Roman"/>
        <w:color w:val="003DA5"/>
        <w:sz w:val="22"/>
      </w:rPr>
      <w:tab/>
      <w:t xml:space="preserve"> </w:t>
    </w:r>
    <w:r>
      <w:rPr>
        <w:rFonts w:ascii="Times New Roman" w:eastAsia="Times New Roman" w:hAnsi="Times New Roman" w:cs="Times New Roman"/>
        <w:color w:val="003DA5"/>
        <w:sz w:val="22"/>
      </w:rPr>
      <w:tab/>
      <w:t xml:space="preserve">Impacting the Future Today </w:t>
    </w:r>
  </w:p>
  <w:p w14:paraId="51463480" w14:textId="49B7B2E5" w:rsidR="00782715" w:rsidRPr="00782715" w:rsidRDefault="00782715" w:rsidP="0078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2D"/>
    <w:multiLevelType w:val="hybridMultilevel"/>
    <w:tmpl w:val="7B1E88EA"/>
    <w:lvl w:ilvl="0" w:tplc="10090001">
      <w:start w:val="1"/>
      <w:numFmt w:val="bullet"/>
      <w:lvlText w:val=""/>
      <w:lvlJc w:val="left"/>
      <w:pPr>
        <w:ind w:left="821" w:hanging="360"/>
      </w:pPr>
      <w:rPr>
        <w:rFonts w:ascii="Symbol" w:hAnsi="Symbol" w:hint="default"/>
      </w:rPr>
    </w:lvl>
    <w:lvl w:ilvl="1" w:tplc="10090003">
      <w:start w:val="1"/>
      <w:numFmt w:val="bullet"/>
      <w:lvlText w:val="o"/>
      <w:lvlJc w:val="left"/>
      <w:pPr>
        <w:ind w:left="1541" w:hanging="360"/>
      </w:pPr>
      <w:rPr>
        <w:rFonts w:ascii="Courier New" w:hAnsi="Courier New" w:cs="Courier New" w:hint="default"/>
      </w:rPr>
    </w:lvl>
    <w:lvl w:ilvl="2" w:tplc="10090005" w:tentative="1">
      <w:start w:val="1"/>
      <w:numFmt w:val="bullet"/>
      <w:lvlText w:val=""/>
      <w:lvlJc w:val="left"/>
      <w:pPr>
        <w:ind w:left="2261" w:hanging="360"/>
      </w:pPr>
      <w:rPr>
        <w:rFonts w:ascii="Wingdings" w:hAnsi="Wingdings" w:hint="default"/>
      </w:rPr>
    </w:lvl>
    <w:lvl w:ilvl="3" w:tplc="10090001" w:tentative="1">
      <w:start w:val="1"/>
      <w:numFmt w:val="bullet"/>
      <w:lvlText w:val=""/>
      <w:lvlJc w:val="left"/>
      <w:pPr>
        <w:ind w:left="2981" w:hanging="360"/>
      </w:pPr>
      <w:rPr>
        <w:rFonts w:ascii="Symbol" w:hAnsi="Symbol" w:hint="default"/>
      </w:rPr>
    </w:lvl>
    <w:lvl w:ilvl="4" w:tplc="10090003" w:tentative="1">
      <w:start w:val="1"/>
      <w:numFmt w:val="bullet"/>
      <w:lvlText w:val="o"/>
      <w:lvlJc w:val="left"/>
      <w:pPr>
        <w:ind w:left="3701" w:hanging="360"/>
      </w:pPr>
      <w:rPr>
        <w:rFonts w:ascii="Courier New" w:hAnsi="Courier New" w:cs="Courier New" w:hint="default"/>
      </w:rPr>
    </w:lvl>
    <w:lvl w:ilvl="5" w:tplc="10090005" w:tentative="1">
      <w:start w:val="1"/>
      <w:numFmt w:val="bullet"/>
      <w:lvlText w:val=""/>
      <w:lvlJc w:val="left"/>
      <w:pPr>
        <w:ind w:left="4421" w:hanging="360"/>
      </w:pPr>
      <w:rPr>
        <w:rFonts w:ascii="Wingdings" w:hAnsi="Wingdings" w:hint="default"/>
      </w:rPr>
    </w:lvl>
    <w:lvl w:ilvl="6" w:tplc="10090001" w:tentative="1">
      <w:start w:val="1"/>
      <w:numFmt w:val="bullet"/>
      <w:lvlText w:val=""/>
      <w:lvlJc w:val="left"/>
      <w:pPr>
        <w:ind w:left="5141" w:hanging="360"/>
      </w:pPr>
      <w:rPr>
        <w:rFonts w:ascii="Symbol" w:hAnsi="Symbol" w:hint="default"/>
      </w:rPr>
    </w:lvl>
    <w:lvl w:ilvl="7" w:tplc="10090003" w:tentative="1">
      <w:start w:val="1"/>
      <w:numFmt w:val="bullet"/>
      <w:lvlText w:val="o"/>
      <w:lvlJc w:val="left"/>
      <w:pPr>
        <w:ind w:left="5861" w:hanging="360"/>
      </w:pPr>
      <w:rPr>
        <w:rFonts w:ascii="Courier New" w:hAnsi="Courier New" w:cs="Courier New" w:hint="default"/>
      </w:rPr>
    </w:lvl>
    <w:lvl w:ilvl="8" w:tplc="10090005" w:tentative="1">
      <w:start w:val="1"/>
      <w:numFmt w:val="bullet"/>
      <w:lvlText w:val=""/>
      <w:lvlJc w:val="left"/>
      <w:pPr>
        <w:ind w:left="6581" w:hanging="360"/>
      </w:pPr>
      <w:rPr>
        <w:rFonts w:ascii="Wingdings" w:hAnsi="Wingdings" w:hint="default"/>
      </w:rPr>
    </w:lvl>
  </w:abstractNum>
  <w:abstractNum w:abstractNumId="1" w15:restartNumberingAfterBreak="0">
    <w:nsid w:val="1B9432D4"/>
    <w:multiLevelType w:val="hybridMultilevel"/>
    <w:tmpl w:val="1DAEFDE4"/>
    <w:lvl w:ilvl="0" w:tplc="EF7AAA56">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134C8"/>
    <w:multiLevelType w:val="hybridMultilevel"/>
    <w:tmpl w:val="20E42F78"/>
    <w:lvl w:ilvl="0" w:tplc="84F2BDAC">
      <w:start w:val="1"/>
      <w:numFmt w:val="bullet"/>
      <w:lvlText w:val="•"/>
      <w:lvlJc w:val="left"/>
      <w:pPr>
        <w:ind w:left="4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12EF784">
      <w:start w:val="1"/>
      <w:numFmt w:val="bullet"/>
      <w:lvlText w:val="o"/>
      <w:lvlJc w:val="left"/>
      <w:pPr>
        <w:ind w:left="11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2F8A832">
      <w:start w:val="1"/>
      <w:numFmt w:val="bullet"/>
      <w:lvlText w:val="▪"/>
      <w:lvlJc w:val="left"/>
      <w:pPr>
        <w:ind w:left="19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B621F16">
      <w:start w:val="1"/>
      <w:numFmt w:val="bullet"/>
      <w:lvlText w:val="•"/>
      <w:lvlJc w:val="left"/>
      <w:pPr>
        <w:ind w:left="26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F8AA54">
      <w:start w:val="1"/>
      <w:numFmt w:val="bullet"/>
      <w:lvlText w:val="o"/>
      <w:lvlJc w:val="left"/>
      <w:pPr>
        <w:ind w:left="33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FF66338">
      <w:start w:val="1"/>
      <w:numFmt w:val="bullet"/>
      <w:lvlText w:val="▪"/>
      <w:lvlJc w:val="left"/>
      <w:pPr>
        <w:ind w:left="40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68B3DA">
      <w:start w:val="1"/>
      <w:numFmt w:val="bullet"/>
      <w:lvlText w:val="•"/>
      <w:lvlJc w:val="left"/>
      <w:pPr>
        <w:ind w:left="4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CF4601A">
      <w:start w:val="1"/>
      <w:numFmt w:val="bullet"/>
      <w:lvlText w:val="o"/>
      <w:lvlJc w:val="left"/>
      <w:pPr>
        <w:ind w:left="55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4B67C">
      <w:start w:val="1"/>
      <w:numFmt w:val="bullet"/>
      <w:lvlText w:val="▪"/>
      <w:lvlJc w:val="left"/>
      <w:pPr>
        <w:ind w:left="62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2C87976"/>
    <w:multiLevelType w:val="multilevel"/>
    <w:tmpl w:val="00E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83DD4"/>
    <w:multiLevelType w:val="hybridMultilevel"/>
    <w:tmpl w:val="139CC1E6"/>
    <w:lvl w:ilvl="0" w:tplc="3FE81446">
      <w:start w:val="1"/>
      <w:numFmt w:val="upperLetter"/>
      <w:lvlText w:val="(%1)"/>
      <w:lvlJc w:val="left"/>
      <w:pPr>
        <w:ind w:left="461" w:hanging="360"/>
      </w:pPr>
      <w:rPr>
        <w:rFonts w:hint="default"/>
      </w:rPr>
    </w:lvl>
    <w:lvl w:ilvl="1" w:tplc="10090019">
      <w:start w:val="1"/>
      <w:numFmt w:val="lowerLetter"/>
      <w:lvlText w:val="%2."/>
      <w:lvlJc w:val="left"/>
      <w:pPr>
        <w:ind w:left="1181" w:hanging="360"/>
      </w:pPr>
    </w:lvl>
    <w:lvl w:ilvl="2" w:tplc="1009001B" w:tentative="1">
      <w:start w:val="1"/>
      <w:numFmt w:val="lowerRoman"/>
      <w:lvlText w:val="%3."/>
      <w:lvlJc w:val="right"/>
      <w:pPr>
        <w:ind w:left="1901" w:hanging="180"/>
      </w:pPr>
    </w:lvl>
    <w:lvl w:ilvl="3" w:tplc="1009000F" w:tentative="1">
      <w:start w:val="1"/>
      <w:numFmt w:val="decimal"/>
      <w:lvlText w:val="%4."/>
      <w:lvlJc w:val="left"/>
      <w:pPr>
        <w:ind w:left="2621" w:hanging="360"/>
      </w:pPr>
    </w:lvl>
    <w:lvl w:ilvl="4" w:tplc="10090019" w:tentative="1">
      <w:start w:val="1"/>
      <w:numFmt w:val="lowerLetter"/>
      <w:lvlText w:val="%5."/>
      <w:lvlJc w:val="left"/>
      <w:pPr>
        <w:ind w:left="3341" w:hanging="360"/>
      </w:pPr>
    </w:lvl>
    <w:lvl w:ilvl="5" w:tplc="1009001B" w:tentative="1">
      <w:start w:val="1"/>
      <w:numFmt w:val="lowerRoman"/>
      <w:lvlText w:val="%6."/>
      <w:lvlJc w:val="right"/>
      <w:pPr>
        <w:ind w:left="4061" w:hanging="180"/>
      </w:pPr>
    </w:lvl>
    <w:lvl w:ilvl="6" w:tplc="1009000F" w:tentative="1">
      <w:start w:val="1"/>
      <w:numFmt w:val="decimal"/>
      <w:lvlText w:val="%7."/>
      <w:lvlJc w:val="left"/>
      <w:pPr>
        <w:ind w:left="4781" w:hanging="360"/>
      </w:pPr>
    </w:lvl>
    <w:lvl w:ilvl="7" w:tplc="10090019" w:tentative="1">
      <w:start w:val="1"/>
      <w:numFmt w:val="lowerLetter"/>
      <w:lvlText w:val="%8."/>
      <w:lvlJc w:val="left"/>
      <w:pPr>
        <w:ind w:left="5501" w:hanging="360"/>
      </w:pPr>
    </w:lvl>
    <w:lvl w:ilvl="8" w:tplc="1009001B" w:tentative="1">
      <w:start w:val="1"/>
      <w:numFmt w:val="lowerRoman"/>
      <w:lvlText w:val="%9."/>
      <w:lvlJc w:val="right"/>
      <w:pPr>
        <w:ind w:left="6221" w:hanging="180"/>
      </w:pPr>
    </w:lvl>
  </w:abstractNum>
  <w:abstractNum w:abstractNumId="5" w15:restartNumberingAfterBreak="0">
    <w:nsid w:val="3C183308"/>
    <w:multiLevelType w:val="hybridMultilevel"/>
    <w:tmpl w:val="67AA642E"/>
    <w:lvl w:ilvl="0" w:tplc="5B1496F2">
      <w:start w:val="1"/>
      <w:numFmt w:val="upperLetter"/>
      <w:lvlText w:val="(%1)"/>
      <w:lvlJc w:val="left"/>
      <w:pPr>
        <w:ind w:left="446" w:hanging="360"/>
      </w:pPr>
      <w:rPr>
        <w:rFonts w:hint="default"/>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6" w15:restartNumberingAfterBreak="0">
    <w:nsid w:val="479E2E1B"/>
    <w:multiLevelType w:val="hybridMultilevel"/>
    <w:tmpl w:val="9FC4B890"/>
    <w:lvl w:ilvl="0" w:tplc="7D9E9612">
      <w:start w:val="1"/>
      <w:numFmt w:val="decimal"/>
      <w:lvlText w:val="%1)"/>
      <w:lvlJc w:val="left"/>
      <w:pPr>
        <w:ind w:left="446" w:hanging="360"/>
      </w:pPr>
      <w:rPr>
        <w:rFonts w:hint="default"/>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7" w15:restartNumberingAfterBreak="0">
    <w:nsid w:val="52E146D2"/>
    <w:multiLevelType w:val="hybridMultilevel"/>
    <w:tmpl w:val="A21227E4"/>
    <w:lvl w:ilvl="0" w:tplc="6E1ECEFE">
      <w:start w:val="1"/>
      <w:numFmt w:val="bullet"/>
      <w:lvlText w:val=""/>
      <w:lvlJc w:val="left"/>
      <w:pPr>
        <w:ind w:left="461" w:hanging="360"/>
      </w:pPr>
      <w:rPr>
        <w:rFonts w:ascii="Symbol" w:eastAsia="Arial" w:hAnsi="Symbol" w:cs="Arial" w:hint="default"/>
      </w:rPr>
    </w:lvl>
    <w:lvl w:ilvl="1" w:tplc="10090003" w:tentative="1">
      <w:start w:val="1"/>
      <w:numFmt w:val="bullet"/>
      <w:lvlText w:val="o"/>
      <w:lvlJc w:val="left"/>
      <w:pPr>
        <w:ind w:left="1181" w:hanging="360"/>
      </w:pPr>
      <w:rPr>
        <w:rFonts w:ascii="Courier New" w:hAnsi="Courier New" w:cs="Courier New" w:hint="default"/>
      </w:rPr>
    </w:lvl>
    <w:lvl w:ilvl="2" w:tplc="10090005" w:tentative="1">
      <w:start w:val="1"/>
      <w:numFmt w:val="bullet"/>
      <w:lvlText w:val=""/>
      <w:lvlJc w:val="left"/>
      <w:pPr>
        <w:ind w:left="1901" w:hanging="360"/>
      </w:pPr>
      <w:rPr>
        <w:rFonts w:ascii="Wingdings" w:hAnsi="Wingdings" w:hint="default"/>
      </w:rPr>
    </w:lvl>
    <w:lvl w:ilvl="3" w:tplc="10090001" w:tentative="1">
      <w:start w:val="1"/>
      <w:numFmt w:val="bullet"/>
      <w:lvlText w:val=""/>
      <w:lvlJc w:val="left"/>
      <w:pPr>
        <w:ind w:left="2621" w:hanging="360"/>
      </w:pPr>
      <w:rPr>
        <w:rFonts w:ascii="Symbol" w:hAnsi="Symbol" w:hint="default"/>
      </w:rPr>
    </w:lvl>
    <w:lvl w:ilvl="4" w:tplc="10090003" w:tentative="1">
      <w:start w:val="1"/>
      <w:numFmt w:val="bullet"/>
      <w:lvlText w:val="o"/>
      <w:lvlJc w:val="left"/>
      <w:pPr>
        <w:ind w:left="3341" w:hanging="360"/>
      </w:pPr>
      <w:rPr>
        <w:rFonts w:ascii="Courier New" w:hAnsi="Courier New" w:cs="Courier New" w:hint="default"/>
      </w:rPr>
    </w:lvl>
    <w:lvl w:ilvl="5" w:tplc="10090005" w:tentative="1">
      <w:start w:val="1"/>
      <w:numFmt w:val="bullet"/>
      <w:lvlText w:val=""/>
      <w:lvlJc w:val="left"/>
      <w:pPr>
        <w:ind w:left="4061" w:hanging="360"/>
      </w:pPr>
      <w:rPr>
        <w:rFonts w:ascii="Wingdings" w:hAnsi="Wingdings" w:hint="default"/>
      </w:rPr>
    </w:lvl>
    <w:lvl w:ilvl="6" w:tplc="10090001" w:tentative="1">
      <w:start w:val="1"/>
      <w:numFmt w:val="bullet"/>
      <w:lvlText w:val=""/>
      <w:lvlJc w:val="left"/>
      <w:pPr>
        <w:ind w:left="4781" w:hanging="360"/>
      </w:pPr>
      <w:rPr>
        <w:rFonts w:ascii="Symbol" w:hAnsi="Symbol" w:hint="default"/>
      </w:rPr>
    </w:lvl>
    <w:lvl w:ilvl="7" w:tplc="10090003" w:tentative="1">
      <w:start w:val="1"/>
      <w:numFmt w:val="bullet"/>
      <w:lvlText w:val="o"/>
      <w:lvlJc w:val="left"/>
      <w:pPr>
        <w:ind w:left="5501" w:hanging="360"/>
      </w:pPr>
      <w:rPr>
        <w:rFonts w:ascii="Courier New" w:hAnsi="Courier New" w:cs="Courier New" w:hint="default"/>
      </w:rPr>
    </w:lvl>
    <w:lvl w:ilvl="8" w:tplc="10090005" w:tentative="1">
      <w:start w:val="1"/>
      <w:numFmt w:val="bullet"/>
      <w:lvlText w:val=""/>
      <w:lvlJc w:val="left"/>
      <w:pPr>
        <w:ind w:left="6221" w:hanging="360"/>
      </w:pPr>
      <w:rPr>
        <w:rFonts w:ascii="Wingdings" w:hAnsi="Wingdings" w:hint="default"/>
      </w:rPr>
    </w:lvl>
  </w:abstractNum>
  <w:abstractNum w:abstractNumId="8" w15:restartNumberingAfterBreak="0">
    <w:nsid w:val="52E30627"/>
    <w:multiLevelType w:val="hybridMultilevel"/>
    <w:tmpl w:val="809A1B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151BDF"/>
    <w:multiLevelType w:val="hybridMultilevel"/>
    <w:tmpl w:val="D542D5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89482111">
    <w:abstractNumId w:val="2"/>
  </w:num>
  <w:num w:numId="2" w16cid:durableId="965702559">
    <w:abstractNumId w:val="1"/>
  </w:num>
  <w:num w:numId="3" w16cid:durableId="739789223">
    <w:abstractNumId w:val="6"/>
  </w:num>
  <w:num w:numId="4" w16cid:durableId="1110584183">
    <w:abstractNumId w:val="7"/>
  </w:num>
  <w:num w:numId="5" w16cid:durableId="1567494302">
    <w:abstractNumId w:val="4"/>
  </w:num>
  <w:num w:numId="6" w16cid:durableId="1720084411">
    <w:abstractNumId w:val="5"/>
  </w:num>
  <w:num w:numId="7" w16cid:durableId="81492321">
    <w:abstractNumId w:val="8"/>
  </w:num>
  <w:num w:numId="8" w16cid:durableId="1323894872">
    <w:abstractNumId w:val="0"/>
  </w:num>
  <w:num w:numId="9" w16cid:durableId="910577247">
    <w:abstractNumId w:val="9"/>
  </w:num>
  <w:num w:numId="10" w16cid:durableId="1823934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2F"/>
    <w:rsid w:val="00000342"/>
    <w:rsid w:val="00020489"/>
    <w:rsid w:val="00066F69"/>
    <w:rsid w:val="000A57B1"/>
    <w:rsid w:val="000B1FBB"/>
    <w:rsid w:val="000B4FD0"/>
    <w:rsid w:val="000C6D42"/>
    <w:rsid w:val="00172D82"/>
    <w:rsid w:val="00191582"/>
    <w:rsid w:val="001C086E"/>
    <w:rsid w:val="001D60A8"/>
    <w:rsid w:val="002020C7"/>
    <w:rsid w:val="0029503F"/>
    <w:rsid w:val="002A3D42"/>
    <w:rsid w:val="002A4184"/>
    <w:rsid w:val="002A4E9C"/>
    <w:rsid w:val="002B3D88"/>
    <w:rsid w:val="002C5046"/>
    <w:rsid w:val="002D0A9E"/>
    <w:rsid w:val="002F51F4"/>
    <w:rsid w:val="002F78C4"/>
    <w:rsid w:val="003233DC"/>
    <w:rsid w:val="003233F8"/>
    <w:rsid w:val="00352A53"/>
    <w:rsid w:val="00354E88"/>
    <w:rsid w:val="0038298E"/>
    <w:rsid w:val="003859B9"/>
    <w:rsid w:val="00393EAF"/>
    <w:rsid w:val="003A7CC6"/>
    <w:rsid w:val="003E1868"/>
    <w:rsid w:val="00414188"/>
    <w:rsid w:val="0044434F"/>
    <w:rsid w:val="004556D5"/>
    <w:rsid w:val="00497D2D"/>
    <w:rsid w:val="004B6C5C"/>
    <w:rsid w:val="004C0EA3"/>
    <w:rsid w:val="004C4ED7"/>
    <w:rsid w:val="004F32FE"/>
    <w:rsid w:val="005028FB"/>
    <w:rsid w:val="005037B2"/>
    <w:rsid w:val="005273D0"/>
    <w:rsid w:val="00541B98"/>
    <w:rsid w:val="00541F8A"/>
    <w:rsid w:val="0056535A"/>
    <w:rsid w:val="00580049"/>
    <w:rsid w:val="00591A27"/>
    <w:rsid w:val="005A11A9"/>
    <w:rsid w:val="005A274A"/>
    <w:rsid w:val="005D3398"/>
    <w:rsid w:val="00604BCA"/>
    <w:rsid w:val="00613103"/>
    <w:rsid w:val="006146A6"/>
    <w:rsid w:val="006163FE"/>
    <w:rsid w:val="00621686"/>
    <w:rsid w:val="00622E98"/>
    <w:rsid w:val="006E182C"/>
    <w:rsid w:val="006E262F"/>
    <w:rsid w:val="00710CE9"/>
    <w:rsid w:val="00733944"/>
    <w:rsid w:val="00741003"/>
    <w:rsid w:val="007551C0"/>
    <w:rsid w:val="00771067"/>
    <w:rsid w:val="0077505A"/>
    <w:rsid w:val="00782715"/>
    <w:rsid w:val="00784F57"/>
    <w:rsid w:val="007851A4"/>
    <w:rsid w:val="007E205A"/>
    <w:rsid w:val="007E5765"/>
    <w:rsid w:val="00815ADC"/>
    <w:rsid w:val="00817989"/>
    <w:rsid w:val="00847B3C"/>
    <w:rsid w:val="008649D3"/>
    <w:rsid w:val="008B0E27"/>
    <w:rsid w:val="008C22DD"/>
    <w:rsid w:val="008C5F0D"/>
    <w:rsid w:val="009009D9"/>
    <w:rsid w:val="00903951"/>
    <w:rsid w:val="00905DE4"/>
    <w:rsid w:val="009361FD"/>
    <w:rsid w:val="00937250"/>
    <w:rsid w:val="0094056D"/>
    <w:rsid w:val="0095730D"/>
    <w:rsid w:val="0095764C"/>
    <w:rsid w:val="00971E3B"/>
    <w:rsid w:val="00995D19"/>
    <w:rsid w:val="009A544A"/>
    <w:rsid w:val="009E2BE3"/>
    <w:rsid w:val="009E74C9"/>
    <w:rsid w:val="00A00F81"/>
    <w:rsid w:val="00A1065F"/>
    <w:rsid w:val="00A321F8"/>
    <w:rsid w:val="00AD0336"/>
    <w:rsid w:val="00AD7C7D"/>
    <w:rsid w:val="00B05B0E"/>
    <w:rsid w:val="00B25210"/>
    <w:rsid w:val="00B85F03"/>
    <w:rsid w:val="00B87347"/>
    <w:rsid w:val="00BA0AA8"/>
    <w:rsid w:val="00BB7621"/>
    <w:rsid w:val="00BC35B3"/>
    <w:rsid w:val="00BC5484"/>
    <w:rsid w:val="00BD53B5"/>
    <w:rsid w:val="00BE406F"/>
    <w:rsid w:val="00BF13E9"/>
    <w:rsid w:val="00C04402"/>
    <w:rsid w:val="00C05E42"/>
    <w:rsid w:val="00C15BE6"/>
    <w:rsid w:val="00C16E93"/>
    <w:rsid w:val="00C4678B"/>
    <w:rsid w:val="00C83212"/>
    <w:rsid w:val="00CC7A21"/>
    <w:rsid w:val="00CD0184"/>
    <w:rsid w:val="00D20F85"/>
    <w:rsid w:val="00D256BD"/>
    <w:rsid w:val="00D466AA"/>
    <w:rsid w:val="00DA1B1B"/>
    <w:rsid w:val="00DA414C"/>
    <w:rsid w:val="00DC6079"/>
    <w:rsid w:val="00DC650B"/>
    <w:rsid w:val="00DE11F1"/>
    <w:rsid w:val="00DE1A1A"/>
    <w:rsid w:val="00DF48E9"/>
    <w:rsid w:val="00E0622F"/>
    <w:rsid w:val="00E226A1"/>
    <w:rsid w:val="00E4670D"/>
    <w:rsid w:val="00E77A04"/>
    <w:rsid w:val="00E859F2"/>
    <w:rsid w:val="00EA292D"/>
    <w:rsid w:val="00ED13EA"/>
    <w:rsid w:val="00F42DC4"/>
    <w:rsid w:val="00F8179F"/>
    <w:rsid w:val="00FA08B6"/>
    <w:rsid w:val="00FA292E"/>
    <w:rsid w:val="00FA6071"/>
    <w:rsid w:val="00FC20A8"/>
    <w:rsid w:val="00FC2D7D"/>
    <w:rsid w:val="00FD22A8"/>
    <w:rsid w:val="00FF6777"/>
    <w:rsid w:val="00FF7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3AC1"/>
  <w15:docId w15:val="{85AE734F-D232-994D-BCF8-7FAB783B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23" w:lineRule="auto"/>
      <w:ind w:left="110" w:hanging="9"/>
    </w:pPr>
    <w:rPr>
      <w:rFonts w:ascii="Arial" w:eastAsia="Arial" w:hAnsi="Arial" w:cs="Arial"/>
      <w:color w:val="000000"/>
      <w:sz w:val="23"/>
      <w:lang w:val="en-US" w:bidi="en-US"/>
    </w:rPr>
  </w:style>
  <w:style w:type="paragraph" w:styleId="Heading1">
    <w:name w:val="heading 1"/>
    <w:next w:val="Normal"/>
    <w:link w:val="Heading1Char"/>
    <w:uiPriority w:val="9"/>
    <w:qFormat/>
    <w:pPr>
      <w:keepNext/>
      <w:keepLines/>
      <w:spacing w:line="259" w:lineRule="auto"/>
      <w:ind w:right="67"/>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line="259" w:lineRule="auto"/>
      <w:ind w:left="111" w:hanging="10"/>
      <w:outlineLvl w:val="1"/>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8"/>
      <w:u w:val="single" w:color="000000"/>
    </w:rPr>
  </w:style>
  <w:style w:type="paragraph" w:styleId="Revision">
    <w:name w:val="Revision"/>
    <w:hidden/>
    <w:uiPriority w:val="99"/>
    <w:semiHidden/>
    <w:rsid w:val="004556D5"/>
    <w:rPr>
      <w:rFonts w:ascii="Arial" w:eastAsia="Arial" w:hAnsi="Arial" w:cs="Arial"/>
      <w:color w:val="000000"/>
      <w:sz w:val="23"/>
      <w:lang w:val="en-US" w:bidi="en-US"/>
    </w:rPr>
  </w:style>
  <w:style w:type="paragraph" w:styleId="ListParagraph">
    <w:name w:val="List Paragraph"/>
    <w:basedOn w:val="Normal"/>
    <w:uiPriority w:val="34"/>
    <w:qFormat/>
    <w:rsid w:val="004556D5"/>
    <w:pPr>
      <w:ind w:left="720"/>
      <w:contextualSpacing/>
    </w:pPr>
  </w:style>
  <w:style w:type="paragraph" w:styleId="NormalWeb">
    <w:name w:val="Normal (Web)"/>
    <w:basedOn w:val="Normal"/>
    <w:uiPriority w:val="99"/>
    <w:semiHidden/>
    <w:unhideWhenUsed/>
    <w:rsid w:val="002B3D88"/>
    <w:rPr>
      <w:rFonts w:ascii="Times New Roman" w:hAnsi="Times New Roman" w:cs="Times New Roman"/>
      <w:sz w:val="24"/>
    </w:rPr>
  </w:style>
  <w:style w:type="character" w:styleId="CommentReference">
    <w:name w:val="annotation reference"/>
    <w:basedOn w:val="DefaultParagraphFont"/>
    <w:uiPriority w:val="99"/>
    <w:semiHidden/>
    <w:unhideWhenUsed/>
    <w:rsid w:val="002F78C4"/>
    <w:rPr>
      <w:sz w:val="16"/>
      <w:szCs w:val="16"/>
    </w:rPr>
  </w:style>
  <w:style w:type="paragraph" w:styleId="CommentText">
    <w:name w:val="annotation text"/>
    <w:basedOn w:val="Normal"/>
    <w:link w:val="CommentTextChar"/>
    <w:uiPriority w:val="99"/>
    <w:unhideWhenUsed/>
    <w:rsid w:val="002F78C4"/>
    <w:pPr>
      <w:spacing w:line="240" w:lineRule="auto"/>
    </w:pPr>
    <w:rPr>
      <w:sz w:val="20"/>
      <w:szCs w:val="20"/>
    </w:rPr>
  </w:style>
  <w:style w:type="character" w:customStyle="1" w:styleId="CommentTextChar">
    <w:name w:val="Comment Text Char"/>
    <w:basedOn w:val="DefaultParagraphFont"/>
    <w:link w:val="CommentText"/>
    <w:uiPriority w:val="99"/>
    <w:rsid w:val="002F78C4"/>
    <w:rPr>
      <w:rFonts w:ascii="Arial" w:eastAsia="Arial" w:hAnsi="Arial" w:cs="Arial"/>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2F78C4"/>
    <w:rPr>
      <w:b/>
      <w:bCs/>
    </w:rPr>
  </w:style>
  <w:style w:type="character" w:customStyle="1" w:styleId="CommentSubjectChar">
    <w:name w:val="Comment Subject Char"/>
    <w:basedOn w:val="CommentTextChar"/>
    <w:link w:val="CommentSubject"/>
    <w:uiPriority w:val="99"/>
    <w:semiHidden/>
    <w:rsid w:val="002F78C4"/>
    <w:rPr>
      <w:rFonts w:ascii="Arial" w:eastAsia="Arial" w:hAnsi="Arial" w:cs="Arial"/>
      <w:b/>
      <w:bCs/>
      <w:color w:val="000000"/>
      <w:sz w:val="20"/>
      <w:szCs w:val="20"/>
      <w:lang w:val="en-US" w:bidi="en-US"/>
    </w:rPr>
  </w:style>
  <w:style w:type="paragraph" w:styleId="Header">
    <w:name w:val="header"/>
    <w:basedOn w:val="Normal"/>
    <w:link w:val="HeaderChar"/>
    <w:uiPriority w:val="99"/>
    <w:unhideWhenUsed/>
    <w:rsid w:val="0078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15"/>
    <w:rPr>
      <w:rFonts w:ascii="Arial" w:eastAsia="Arial" w:hAnsi="Arial" w:cs="Arial"/>
      <w:color w:val="000000"/>
      <w:sz w:val="23"/>
      <w:lang w:val="en-US" w:bidi="en-US"/>
    </w:rPr>
  </w:style>
  <w:style w:type="paragraph" w:styleId="Footer">
    <w:name w:val="footer"/>
    <w:basedOn w:val="Normal"/>
    <w:link w:val="FooterChar"/>
    <w:uiPriority w:val="99"/>
    <w:unhideWhenUsed/>
    <w:rsid w:val="0078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15"/>
    <w:rPr>
      <w:rFonts w:ascii="Arial" w:eastAsia="Arial" w:hAnsi="Arial" w:cs="Arial"/>
      <w:color w:val="000000"/>
      <w:sz w:val="23"/>
      <w:lang w:val="en-US" w:bidi="en-US"/>
    </w:rPr>
  </w:style>
  <w:style w:type="paragraph" w:styleId="FootnoteText">
    <w:name w:val="footnote text"/>
    <w:basedOn w:val="Normal"/>
    <w:link w:val="FootnoteTextChar"/>
    <w:uiPriority w:val="99"/>
    <w:semiHidden/>
    <w:unhideWhenUsed/>
    <w:rsid w:val="00CD0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184"/>
    <w:rPr>
      <w:rFonts w:ascii="Arial" w:eastAsia="Arial" w:hAnsi="Arial" w:cs="Arial"/>
      <w:color w:val="000000"/>
      <w:sz w:val="20"/>
      <w:szCs w:val="20"/>
      <w:lang w:val="en-US" w:bidi="en-US"/>
    </w:rPr>
  </w:style>
  <w:style w:type="character" w:styleId="FootnoteReference">
    <w:name w:val="footnote reference"/>
    <w:basedOn w:val="DefaultParagraphFont"/>
    <w:uiPriority w:val="99"/>
    <w:semiHidden/>
    <w:unhideWhenUsed/>
    <w:rsid w:val="00CD0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9223">
      <w:bodyDiv w:val="1"/>
      <w:marLeft w:val="0"/>
      <w:marRight w:val="0"/>
      <w:marTop w:val="0"/>
      <w:marBottom w:val="0"/>
      <w:divBdr>
        <w:top w:val="none" w:sz="0" w:space="0" w:color="auto"/>
        <w:left w:val="none" w:sz="0" w:space="0" w:color="auto"/>
        <w:bottom w:val="none" w:sz="0" w:space="0" w:color="auto"/>
        <w:right w:val="none" w:sz="0" w:space="0" w:color="auto"/>
      </w:divBdr>
      <w:divsChild>
        <w:div w:id="1225412534">
          <w:marLeft w:val="0"/>
          <w:marRight w:val="0"/>
          <w:marTop w:val="0"/>
          <w:marBottom w:val="0"/>
          <w:divBdr>
            <w:top w:val="none" w:sz="0" w:space="0" w:color="auto"/>
            <w:left w:val="none" w:sz="0" w:space="0" w:color="auto"/>
            <w:bottom w:val="none" w:sz="0" w:space="0" w:color="auto"/>
            <w:right w:val="none" w:sz="0" w:space="0" w:color="auto"/>
          </w:divBdr>
          <w:divsChild>
            <w:div w:id="2067027599">
              <w:marLeft w:val="0"/>
              <w:marRight w:val="0"/>
              <w:marTop w:val="0"/>
              <w:marBottom w:val="0"/>
              <w:divBdr>
                <w:top w:val="none" w:sz="0" w:space="0" w:color="auto"/>
                <w:left w:val="none" w:sz="0" w:space="0" w:color="auto"/>
                <w:bottom w:val="none" w:sz="0" w:space="0" w:color="auto"/>
                <w:right w:val="none" w:sz="0" w:space="0" w:color="auto"/>
              </w:divBdr>
              <w:divsChild>
                <w:div w:id="1280575995">
                  <w:marLeft w:val="0"/>
                  <w:marRight w:val="0"/>
                  <w:marTop w:val="0"/>
                  <w:marBottom w:val="0"/>
                  <w:divBdr>
                    <w:top w:val="none" w:sz="0" w:space="0" w:color="auto"/>
                    <w:left w:val="none" w:sz="0" w:space="0" w:color="auto"/>
                    <w:bottom w:val="none" w:sz="0" w:space="0" w:color="auto"/>
                    <w:right w:val="none" w:sz="0" w:space="0" w:color="auto"/>
                  </w:divBdr>
                  <w:divsChild>
                    <w:div w:id="3585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730">
      <w:bodyDiv w:val="1"/>
      <w:marLeft w:val="0"/>
      <w:marRight w:val="0"/>
      <w:marTop w:val="0"/>
      <w:marBottom w:val="0"/>
      <w:divBdr>
        <w:top w:val="none" w:sz="0" w:space="0" w:color="auto"/>
        <w:left w:val="none" w:sz="0" w:space="0" w:color="auto"/>
        <w:bottom w:val="none" w:sz="0" w:space="0" w:color="auto"/>
        <w:right w:val="none" w:sz="0" w:space="0" w:color="auto"/>
      </w:divBdr>
    </w:div>
    <w:div w:id="655113497">
      <w:bodyDiv w:val="1"/>
      <w:marLeft w:val="0"/>
      <w:marRight w:val="0"/>
      <w:marTop w:val="0"/>
      <w:marBottom w:val="0"/>
      <w:divBdr>
        <w:top w:val="none" w:sz="0" w:space="0" w:color="auto"/>
        <w:left w:val="none" w:sz="0" w:space="0" w:color="auto"/>
        <w:bottom w:val="none" w:sz="0" w:space="0" w:color="auto"/>
        <w:right w:val="none" w:sz="0" w:space="0" w:color="auto"/>
      </w:divBdr>
      <w:divsChild>
        <w:div w:id="1344430368">
          <w:marLeft w:val="0"/>
          <w:marRight w:val="0"/>
          <w:marTop w:val="0"/>
          <w:marBottom w:val="0"/>
          <w:divBdr>
            <w:top w:val="none" w:sz="0" w:space="0" w:color="auto"/>
            <w:left w:val="none" w:sz="0" w:space="0" w:color="auto"/>
            <w:bottom w:val="none" w:sz="0" w:space="0" w:color="auto"/>
            <w:right w:val="none" w:sz="0" w:space="0" w:color="auto"/>
          </w:divBdr>
          <w:divsChild>
            <w:div w:id="1574581647">
              <w:marLeft w:val="0"/>
              <w:marRight w:val="0"/>
              <w:marTop w:val="0"/>
              <w:marBottom w:val="0"/>
              <w:divBdr>
                <w:top w:val="none" w:sz="0" w:space="0" w:color="auto"/>
                <w:left w:val="none" w:sz="0" w:space="0" w:color="auto"/>
                <w:bottom w:val="none" w:sz="0" w:space="0" w:color="auto"/>
                <w:right w:val="none" w:sz="0" w:space="0" w:color="auto"/>
              </w:divBdr>
              <w:divsChild>
                <w:div w:id="888951896">
                  <w:marLeft w:val="0"/>
                  <w:marRight w:val="0"/>
                  <w:marTop w:val="0"/>
                  <w:marBottom w:val="0"/>
                  <w:divBdr>
                    <w:top w:val="none" w:sz="0" w:space="0" w:color="auto"/>
                    <w:left w:val="none" w:sz="0" w:space="0" w:color="auto"/>
                    <w:bottom w:val="none" w:sz="0" w:space="0" w:color="auto"/>
                    <w:right w:val="none" w:sz="0" w:space="0" w:color="auto"/>
                  </w:divBdr>
                  <w:divsChild>
                    <w:div w:id="6855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73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428">
          <w:marLeft w:val="0"/>
          <w:marRight w:val="0"/>
          <w:marTop w:val="0"/>
          <w:marBottom w:val="0"/>
          <w:divBdr>
            <w:top w:val="none" w:sz="0" w:space="0" w:color="auto"/>
            <w:left w:val="none" w:sz="0" w:space="0" w:color="auto"/>
            <w:bottom w:val="none" w:sz="0" w:space="0" w:color="auto"/>
            <w:right w:val="none" w:sz="0" w:space="0" w:color="auto"/>
          </w:divBdr>
          <w:divsChild>
            <w:div w:id="129792751">
              <w:marLeft w:val="0"/>
              <w:marRight w:val="0"/>
              <w:marTop w:val="0"/>
              <w:marBottom w:val="0"/>
              <w:divBdr>
                <w:top w:val="none" w:sz="0" w:space="0" w:color="auto"/>
                <w:left w:val="none" w:sz="0" w:space="0" w:color="auto"/>
                <w:bottom w:val="none" w:sz="0" w:space="0" w:color="auto"/>
                <w:right w:val="none" w:sz="0" w:space="0" w:color="auto"/>
              </w:divBdr>
              <w:divsChild>
                <w:div w:id="1889485742">
                  <w:marLeft w:val="0"/>
                  <w:marRight w:val="0"/>
                  <w:marTop w:val="0"/>
                  <w:marBottom w:val="0"/>
                  <w:divBdr>
                    <w:top w:val="none" w:sz="0" w:space="0" w:color="auto"/>
                    <w:left w:val="none" w:sz="0" w:space="0" w:color="auto"/>
                    <w:bottom w:val="none" w:sz="0" w:space="0" w:color="auto"/>
                    <w:right w:val="none" w:sz="0" w:space="0" w:color="auto"/>
                  </w:divBdr>
                  <w:divsChild>
                    <w:div w:id="87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9124">
      <w:bodyDiv w:val="1"/>
      <w:marLeft w:val="0"/>
      <w:marRight w:val="0"/>
      <w:marTop w:val="0"/>
      <w:marBottom w:val="0"/>
      <w:divBdr>
        <w:top w:val="none" w:sz="0" w:space="0" w:color="auto"/>
        <w:left w:val="none" w:sz="0" w:space="0" w:color="auto"/>
        <w:bottom w:val="none" w:sz="0" w:space="0" w:color="auto"/>
        <w:right w:val="none" w:sz="0" w:space="0" w:color="auto"/>
      </w:divBdr>
      <w:divsChild>
        <w:div w:id="1676684576">
          <w:marLeft w:val="0"/>
          <w:marRight w:val="0"/>
          <w:marTop w:val="0"/>
          <w:marBottom w:val="0"/>
          <w:divBdr>
            <w:top w:val="none" w:sz="0" w:space="0" w:color="auto"/>
            <w:left w:val="none" w:sz="0" w:space="0" w:color="auto"/>
            <w:bottom w:val="none" w:sz="0" w:space="0" w:color="auto"/>
            <w:right w:val="none" w:sz="0" w:space="0" w:color="auto"/>
          </w:divBdr>
          <w:divsChild>
            <w:div w:id="260994939">
              <w:marLeft w:val="0"/>
              <w:marRight w:val="0"/>
              <w:marTop w:val="0"/>
              <w:marBottom w:val="0"/>
              <w:divBdr>
                <w:top w:val="none" w:sz="0" w:space="0" w:color="auto"/>
                <w:left w:val="none" w:sz="0" w:space="0" w:color="auto"/>
                <w:bottom w:val="none" w:sz="0" w:space="0" w:color="auto"/>
                <w:right w:val="none" w:sz="0" w:space="0" w:color="auto"/>
              </w:divBdr>
              <w:divsChild>
                <w:div w:id="489255631">
                  <w:marLeft w:val="0"/>
                  <w:marRight w:val="0"/>
                  <w:marTop w:val="0"/>
                  <w:marBottom w:val="0"/>
                  <w:divBdr>
                    <w:top w:val="none" w:sz="0" w:space="0" w:color="auto"/>
                    <w:left w:val="none" w:sz="0" w:space="0" w:color="auto"/>
                    <w:bottom w:val="none" w:sz="0" w:space="0" w:color="auto"/>
                    <w:right w:val="none" w:sz="0" w:space="0" w:color="auto"/>
                  </w:divBdr>
                  <w:divsChild>
                    <w:div w:id="215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62832">
      <w:bodyDiv w:val="1"/>
      <w:marLeft w:val="0"/>
      <w:marRight w:val="0"/>
      <w:marTop w:val="0"/>
      <w:marBottom w:val="0"/>
      <w:divBdr>
        <w:top w:val="none" w:sz="0" w:space="0" w:color="auto"/>
        <w:left w:val="none" w:sz="0" w:space="0" w:color="auto"/>
        <w:bottom w:val="none" w:sz="0" w:space="0" w:color="auto"/>
        <w:right w:val="none" w:sz="0" w:space="0" w:color="auto"/>
      </w:divBdr>
      <w:divsChild>
        <w:div w:id="1137143387">
          <w:marLeft w:val="0"/>
          <w:marRight w:val="0"/>
          <w:marTop w:val="0"/>
          <w:marBottom w:val="0"/>
          <w:divBdr>
            <w:top w:val="none" w:sz="0" w:space="0" w:color="auto"/>
            <w:left w:val="none" w:sz="0" w:space="0" w:color="auto"/>
            <w:bottom w:val="none" w:sz="0" w:space="0" w:color="auto"/>
            <w:right w:val="none" w:sz="0" w:space="0" w:color="auto"/>
          </w:divBdr>
          <w:divsChild>
            <w:div w:id="820272336">
              <w:marLeft w:val="0"/>
              <w:marRight w:val="0"/>
              <w:marTop w:val="0"/>
              <w:marBottom w:val="0"/>
              <w:divBdr>
                <w:top w:val="none" w:sz="0" w:space="0" w:color="auto"/>
                <w:left w:val="none" w:sz="0" w:space="0" w:color="auto"/>
                <w:bottom w:val="none" w:sz="0" w:space="0" w:color="auto"/>
                <w:right w:val="none" w:sz="0" w:space="0" w:color="auto"/>
              </w:divBdr>
              <w:divsChild>
                <w:div w:id="400912143">
                  <w:marLeft w:val="0"/>
                  <w:marRight w:val="0"/>
                  <w:marTop w:val="0"/>
                  <w:marBottom w:val="0"/>
                  <w:divBdr>
                    <w:top w:val="none" w:sz="0" w:space="0" w:color="auto"/>
                    <w:left w:val="none" w:sz="0" w:space="0" w:color="auto"/>
                    <w:bottom w:val="none" w:sz="0" w:space="0" w:color="auto"/>
                    <w:right w:val="none" w:sz="0" w:space="0" w:color="auto"/>
                  </w:divBdr>
                  <w:divsChild>
                    <w:div w:id="1943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3248">
      <w:bodyDiv w:val="1"/>
      <w:marLeft w:val="0"/>
      <w:marRight w:val="0"/>
      <w:marTop w:val="0"/>
      <w:marBottom w:val="0"/>
      <w:divBdr>
        <w:top w:val="none" w:sz="0" w:space="0" w:color="auto"/>
        <w:left w:val="none" w:sz="0" w:space="0" w:color="auto"/>
        <w:bottom w:val="none" w:sz="0" w:space="0" w:color="auto"/>
        <w:right w:val="none" w:sz="0" w:space="0" w:color="auto"/>
      </w:divBdr>
      <w:divsChild>
        <w:div w:id="309289032">
          <w:marLeft w:val="0"/>
          <w:marRight w:val="0"/>
          <w:marTop w:val="0"/>
          <w:marBottom w:val="0"/>
          <w:divBdr>
            <w:top w:val="none" w:sz="0" w:space="0" w:color="auto"/>
            <w:left w:val="none" w:sz="0" w:space="0" w:color="auto"/>
            <w:bottom w:val="none" w:sz="0" w:space="0" w:color="auto"/>
            <w:right w:val="none" w:sz="0" w:space="0" w:color="auto"/>
          </w:divBdr>
          <w:divsChild>
            <w:div w:id="142739417">
              <w:marLeft w:val="0"/>
              <w:marRight w:val="0"/>
              <w:marTop w:val="0"/>
              <w:marBottom w:val="0"/>
              <w:divBdr>
                <w:top w:val="none" w:sz="0" w:space="0" w:color="auto"/>
                <w:left w:val="none" w:sz="0" w:space="0" w:color="auto"/>
                <w:bottom w:val="none" w:sz="0" w:space="0" w:color="auto"/>
                <w:right w:val="none" w:sz="0" w:space="0" w:color="auto"/>
              </w:divBdr>
              <w:divsChild>
                <w:div w:id="1895504936">
                  <w:marLeft w:val="0"/>
                  <w:marRight w:val="0"/>
                  <w:marTop w:val="0"/>
                  <w:marBottom w:val="0"/>
                  <w:divBdr>
                    <w:top w:val="none" w:sz="0" w:space="0" w:color="auto"/>
                    <w:left w:val="none" w:sz="0" w:space="0" w:color="auto"/>
                    <w:bottom w:val="none" w:sz="0" w:space="0" w:color="auto"/>
                    <w:right w:val="none" w:sz="0" w:space="0" w:color="auto"/>
                  </w:divBdr>
                  <w:divsChild>
                    <w:div w:id="952518143">
                      <w:marLeft w:val="0"/>
                      <w:marRight w:val="0"/>
                      <w:marTop w:val="0"/>
                      <w:marBottom w:val="0"/>
                      <w:divBdr>
                        <w:top w:val="none" w:sz="0" w:space="0" w:color="auto"/>
                        <w:left w:val="none" w:sz="0" w:space="0" w:color="auto"/>
                        <w:bottom w:val="none" w:sz="0" w:space="0" w:color="auto"/>
                        <w:right w:val="none" w:sz="0" w:space="0" w:color="auto"/>
                      </w:divBdr>
                    </w:div>
                  </w:divsChild>
                </w:div>
                <w:div w:id="718355841">
                  <w:marLeft w:val="0"/>
                  <w:marRight w:val="0"/>
                  <w:marTop w:val="0"/>
                  <w:marBottom w:val="0"/>
                  <w:divBdr>
                    <w:top w:val="none" w:sz="0" w:space="0" w:color="auto"/>
                    <w:left w:val="none" w:sz="0" w:space="0" w:color="auto"/>
                    <w:bottom w:val="none" w:sz="0" w:space="0" w:color="auto"/>
                    <w:right w:val="none" w:sz="0" w:space="0" w:color="auto"/>
                  </w:divBdr>
                  <w:divsChild>
                    <w:div w:id="9164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3455">
      <w:bodyDiv w:val="1"/>
      <w:marLeft w:val="0"/>
      <w:marRight w:val="0"/>
      <w:marTop w:val="0"/>
      <w:marBottom w:val="0"/>
      <w:divBdr>
        <w:top w:val="none" w:sz="0" w:space="0" w:color="auto"/>
        <w:left w:val="none" w:sz="0" w:space="0" w:color="auto"/>
        <w:bottom w:val="none" w:sz="0" w:space="0" w:color="auto"/>
        <w:right w:val="none" w:sz="0" w:space="0" w:color="auto"/>
      </w:divBdr>
      <w:divsChild>
        <w:div w:id="1343436813">
          <w:marLeft w:val="0"/>
          <w:marRight w:val="0"/>
          <w:marTop w:val="0"/>
          <w:marBottom w:val="0"/>
          <w:divBdr>
            <w:top w:val="none" w:sz="0" w:space="0" w:color="auto"/>
            <w:left w:val="none" w:sz="0" w:space="0" w:color="auto"/>
            <w:bottom w:val="none" w:sz="0" w:space="0" w:color="auto"/>
            <w:right w:val="none" w:sz="0" w:space="0" w:color="auto"/>
          </w:divBdr>
          <w:divsChild>
            <w:div w:id="253364950">
              <w:marLeft w:val="0"/>
              <w:marRight w:val="0"/>
              <w:marTop w:val="0"/>
              <w:marBottom w:val="0"/>
              <w:divBdr>
                <w:top w:val="none" w:sz="0" w:space="0" w:color="auto"/>
                <w:left w:val="none" w:sz="0" w:space="0" w:color="auto"/>
                <w:bottom w:val="none" w:sz="0" w:space="0" w:color="auto"/>
                <w:right w:val="none" w:sz="0" w:space="0" w:color="auto"/>
              </w:divBdr>
              <w:divsChild>
                <w:div w:id="2057309455">
                  <w:marLeft w:val="0"/>
                  <w:marRight w:val="0"/>
                  <w:marTop w:val="0"/>
                  <w:marBottom w:val="0"/>
                  <w:divBdr>
                    <w:top w:val="none" w:sz="0" w:space="0" w:color="auto"/>
                    <w:left w:val="none" w:sz="0" w:space="0" w:color="auto"/>
                    <w:bottom w:val="none" w:sz="0" w:space="0" w:color="auto"/>
                    <w:right w:val="none" w:sz="0" w:space="0" w:color="auto"/>
                  </w:divBdr>
                  <w:divsChild>
                    <w:div w:id="16711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699">
      <w:bodyDiv w:val="1"/>
      <w:marLeft w:val="0"/>
      <w:marRight w:val="0"/>
      <w:marTop w:val="0"/>
      <w:marBottom w:val="0"/>
      <w:divBdr>
        <w:top w:val="none" w:sz="0" w:space="0" w:color="auto"/>
        <w:left w:val="none" w:sz="0" w:space="0" w:color="auto"/>
        <w:bottom w:val="none" w:sz="0" w:space="0" w:color="auto"/>
        <w:right w:val="none" w:sz="0" w:space="0" w:color="auto"/>
      </w:divBdr>
      <w:divsChild>
        <w:div w:id="2092659312">
          <w:marLeft w:val="0"/>
          <w:marRight w:val="0"/>
          <w:marTop w:val="0"/>
          <w:marBottom w:val="0"/>
          <w:divBdr>
            <w:top w:val="none" w:sz="0" w:space="0" w:color="auto"/>
            <w:left w:val="none" w:sz="0" w:space="0" w:color="auto"/>
            <w:bottom w:val="none" w:sz="0" w:space="0" w:color="auto"/>
            <w:right w:val="none" w:sz="0" w:space="0" w:color="auto"/>
          </w:divBdr>
          <w:divsChild>
            <w:div w:id="478575618">
              <w:marLeft w:val="0"/>
              <w:marRight w:val="0"/>
              <w:marTop w:val="0"/>
              <w:marBottom w:val="0"/>
              <w:divBdr>
                <w:top w:val="none" w:sz="0" w:space="0" w:color="auto"/>
                <w:left w:val="none" w:sz="0" w:space="0" w:color="auto"/>
                <w:bottom w:val="none" w:sz="0" w:space="0" w:color="auto"/>
                <w:right w:val="none" w:sz="0" w:space="0" w:color="auto"/>
              </w:divBdr>
              <w:divsChild>
                <w:div w:id="60059246">
                  <w:marLeft w:val="0"/>
                  <w:marRight w:val="0"/>
                  <w:marTop w:val="0"/>
                  <w:marBottom w:val="0"/>
                  <w:divBdr>
                    <w:top w:val="none" w:sz="0" w:space="0" w:color="auto"/>
                    <w:left w:val="none" w:sz="0" w:space="0" w:color="auto"/>
                    <w:bottom w:val="none" w:sz="0" w:space="0" w:color="auto"/>
                    <w:right w:val="none" w:sz="0" w:space="0" w:color="auto"/>
                  </w:divBdr>
                  <w:divsChild>
                    <w:div w:id="7772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1592">
      <w:bodyDiv w:val="1"/>
      <w:marLeft w:val="0"/>
      <w:marRight w:val="0"/>
      <w:marTop w:val="0"/>
      <w:marBottom w:val="0"/>
      <w:divBdr>
        <w:top w:val="none" w:sz="0" w:space="0" w:color="auto"/>
        <w:left w:val="none" w:sz="0" w:space="0" w:color="auto"/>
        <w:bottom w:val="none" w:sz="0" w:space="0" w:color="auto"/>
        <w:right w:val="none" w:sz="0" w:space="0" w:color="auto"/>
      </w:divBdr>
      <w:divsChild>
        <w:div w:id="626005203">
          <w:marLeft w:val="0"/>
          <w:marRight w:val="0"/>
          <w:marTop w:val="0"/>
          <w:marBottom w:val="0"/>
          <w:divBdr>
            <w:top w:val="none" w:sz="0" w:space="0" w:color="auto"/>
            <w:left w:val="none" w:sz="0" w:space="0" w:color="auto"/>
            <w:bottom w:val="none" w:sz="0" w:space="0" w:color="auto"/>
            <w:right w:val="none" w:sz="0" w:space="0" w:color="auto"/>
          </w:divBdr>
          <w:divsChild>
            <w:div w:id="1578051751">
              <w:marLeft w:val="0"/>
              <w:marRight w:val="0"/>
              <w:marTop w:val="0"/>
              <w:marBottom w:val="0"/>
              <w:divBdr>
                <w:top w:val="none" w:sz="0" w:space="0" w:color="auto"/>
                <w:left w:val="none" w:sz="0" w:space="0" w:color="auto"/>
                <w:bottom w:val="none" w:sz="0" w:space="0" w:color="auto"/>
                <w:right w:val="none" w:sz="0" w:space="0" w:color="auto"/>
              </w:divBdr>
              <w:divsChild>
                <w:div w:id="1630891418">
                  <w:marLeft w:val="0"/>
                  <w:marRight w:val="0"/>
                  <w:marTop w:val="0"/>
                  <w:marBottom w:val="0"/>
                  <w:divBdr>
                    <w:top w:val="none" w:sz="0" w:space="0" w:color="auto"/>
                    <w:left w:val="none" w:sz="0" w:space="0" w:color="auto"/>
                    <w:bottom w:val="none" w:sz="0" w:space="0" w:color="auto"/>
                    <w:right w:val="none" w:sz="0" w:space="0" w:color="auto"/>
                  </w:divBdr>
                  <w:divsChild>
                    <w:div w:id="11639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537">
      <w:bodyDiv w:val="1"/>
      <w:marLeft w:val="0"/>
      <w:marRight w:val="0"/>
      <w:marTop w:val="0"/>
      <w:marBottom w:val="0"/>
      <w:divBdr>
        <w:top w:val="none" w:sz="0" w:space="0" w:color="auto"/>
        <w:left w:val="none" w:sz="0" w:space="0" w:color="auto"/>
        <w:bottom w:val="none" w:sz="0" w:space="0" w:color="auto"/>
        <w:right w:val="none" w:sz="0" w:space="0" w:color="auto"/>
      </w:divBdr>
    </w:div>
    <w:div w:id="1966233032">
      <w:bodyDiv w:val="1"/>
      <w:marLeft w:val="0"/>
      <w:marRight w:val="0"/>
      <w:marTop w:val="0"/>
      <w:marBottom w:val="0"/>
      <w:divBdr>
        <w:top w:val="none" w:sz="0" w:space="0" w:color="auto"/>
        <w:left w:val="none" w:sz="0" w:space="0" w:color="auto"/>
        <w:bottom w:val="none" w:sz="0" w:space="0" w:color="auto"/>
        <w:right w:val="none" w:sz="0" w:space="0" w:color="auto"/>
      </w:divBdr>
      <w:divsChild>
        <w:div w:id="598293798">
          <w:marLeft w:val="0"/>
          <w:marRight w:val="0"/>
          <w:marTop w:val="0"/>
          <w:marBottom w:val="0"/>
          <w:divBdr>
            <w:top w:val="none" w:sz="0" w:space="0" w:color="auto"/>
            <w:left w:val="none" w:sz="0" w:space="0" w:color="auto"/>
            <w:bottom w:val="none" w:sz="0" w:space="0" w:color="auto"/>
            <w:right w:val="none" w:sz="0" w:space="0" w:color="auto"/>
          </w:divBdr>
          <w:divsChild>
            <w:div w:id="1502040678">
              <w:marLeft w:val="0"/>
              <w:marRight w:val="0"/>
              <w:marTop w:val="0"/>
              <w:marBottom w:val="0"/>
              <w:divBdr>
                <w:top w:val="none" w:sz="0" w:space="0" w:color="auto"/>
                <w:left w:val="none" w:sz="0" w:space="0" w:color="auto"/>
                <w:bottom w:val="none" w:sz="0" w:space="0" w:color="auto"/>
                <w:right w:val="none" w:sz="0" w:space="0" w:color="auto"/>
              </w:divBdr>
              <w:divsChild>
                <w:div w:id="162817190">
                  <w:marLeft w:val="0"/>
                  <w:marRight w:val="0"/>
                  <w:marTop w:val="0"/>
                  <w:marBottom w:val="0"/>
                  <w:divBdr>
                    <w:top w:val="none" w:sz="0" w:space="0" w:color="auto"/>
                    <w:left w:val="none" w:sz="0" w:space="0" w:color="auto"/>
                    <w:bottom w:val="none" w:sz="0" w:space="0" w:color="auto"/>
                    <w:right w:val="none" w:sz="0" w:space="0" w:color="auto"/>
                  </w:divBdr>
                  <w:divsChild>
                    <w:div w:id="10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58304">
      <w:bodyDiv w:val="1"/>
      <w:marLeft w:val="0"/>
      <w:marRight w:val="0"/>
      <w:marTop w:val="0"/>
      <w:marBottom w:val="0"/>
      <w:divBdr>
        <w:top w:val="none" w:sz="0" w:space="0" w:color="auto"/>
        <w:left w:val="none" w:sz="0" w:space="0" w:color="auto"/>
        <w:bottom w:val="none" w:sz="0" w:space="0" w:color="auto"/>
        <w:right w:val="none" w:sz="0" w:space="0" w:color="auto"/>
      </w:divBdr>
      <w:divsChild>
        <w:div w:id="336805655">
          <w:marLeft w:val="0"/>
          <w:marRight w:val="0"/>
          <w:marTop w:val="0"/>
          <w:marBottom w:val="0"/>
          <w:divBdr>
            <w:top w:val="none" w:sz="0" w:space="0" w:color="auto"/>
            <w:left w:val="none" w:sz="0" w:space="0" w:color="auto"/>
            <w:bottom w:val="none" w:sz="0" w:space="0" w:color="auto"/>
            <w:right w:val="none" w:sz="0" w:space="0" w:color="auto"/>
          </w:divBdr>
          <w:divsChild>
            <w:div w:id="78446619">
              <w:marLeft w:val="0"/>
              <w:marRight w:val="0"/>
              <w:marTop w:val="0"/>
              <w:marBottom w:val="0"/>
              <w:divBdr>
                <w:top w:val="none" w:sz="0" w:space="0" w:color="auto"/>
                <w:left w:val="none" w:sz="0" w:space="0" w:color="auto"/>
                <w:bottom w:val="none" w:sz="0" w:space="0" w:color="auto"/>
                <w:right w:val="none" w:sz="0" w:space="0" w:color="auto"/>
              </w:divBdr>
              <w:divsChild>
                <w:div w:id="652493515">
                  <w:marLeft w:val="0"/>
                  <w:marRight w:val="0"/>
                  <w:marTop w:val="0"/>
                  <w:marBottom w:val="0"/>
                  <w:divBdr>
                    <w:top w:val="none" w:sz="0" w:space="0" w:color="auto"/>
                    <w:left w:val="none" w:sz="0" w:space="0" w:color="auto"/>
                    <w:bottom w:val="none" w:sz="0" w:space="0" w:color="auto"/>
                    <w:right w:val="none" w:sz="0" w:space="0" w:color="auto"/>
                  </w:divBdr>
                  <w:divsChild>
                    <w:div w:id="19943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951456-43af-4e9e-8868-844425caecb2" xsi:nil="true"/>
    <lcf76f155ced4ddcb4097134ff3c332f xmlns="3696a349-c8d4-4190-ac75-9e92beca7d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9E6CCD7A55B4184322B78A27F30B4" ma:contentTypeVersion="12" ma:contentTypeDescription="Create a new document." ma:contentTypeScope="" ma:versionID="9fec58443098784af8e7dafbbf121a90">
  <xsd:schema xmlns:xsd="http://www.w3.org/2001/XMLSchema" xmlns:xs="http://www.w3.org/2001/XMLSchema" xmlns:p="http://schemas.microsoft.com/office/2006/metadata/properties" xmlns:ns2="3696a349-c8d4-4190-ac75-9e92beca7d73" xmlns:ns3="71951456-43af-4e9e-8868-844425caecb2" targetNamespace="http://schemas.microsoft.com/office/2006/metadata/properties" ma:root="true" ma:fieldsID="5cf33022a6d6d759bc451befc7af69e5" ns2:_="" ns3:_="">
    <xsd:import namespace="3696a349-c8d4-4190-ac75-9e92beca7d73"/>
    <xsd:import namespace="71951456-43af-4e9e-8868-844425caecb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a349-c8d4-4190-ac75-9e92beca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f59fdd-4047-4dd9-8c83-aafa002cbae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51456-43af-4e9e-8868-844425caec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d77095-fa75-406e-9e07-535f21cc5d49}" ma:internalName="TaxCatchAll" ma:showField="CatchAllData" ma:web="71951456-43af-4e9e-8868-844425cae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06B6-6422-448B-9C05-3BF11561741B}">
  <ds:schemaRefs>
    <ds:schemaRef ds:uri="http://schemas.microsoft.com/office/2006/metadata/properties"/>
    <ds:schemaRef ds:uri="http://schemas.microsoft.com/office/infopath/2007/PartnerControls"/>
    <ds:schemaRef ds:uri="da56cbe8-dec1-4c34-b5d5-ea78d8c874cb"/>
  </ds:schemaRefs>
</ds:datastoreItem>
</file>

<file path=customXml/itemProps2.xml><?xml version="1.0" encoding="utf-8"?>
<ds:datastoreItem xmlns:ds="http://schemas.openxmlformats.org/officeDocument/2006/customXml" ds:itemID="{D4F896FE-AFC0-48BC-AD53-5FA5AC033E0D}"/>
</file>

<file path=customXml/itemProps3.xml><?xml version="1.0" encoding="utf-8"?>
<ds:datastoreItem xmlns:ds="http://schemas.openxmlformats.org/officeDocument/2006/customXml" ds:itemID="{6AE516A3-DA0C-4050-A995-3779DADFEB49}">
  <ds:schemaRefs>
    <ds:schemaRef ds:uri="http://schemas.microsoft.com/sharepoint/v3/contenttype/forms"/>
  </ds:schemaRefs>
</ds:datastoreItem>
</file>

<file path=customXml/itemProps4.xml><?xml version="1.0" encoding="utf-8"?>
<ds:datastoreItem xmlns:ds="http://schemas.openxmlformats.org/officeDocument/2006/customXml" ds:itemID="{50B5E296-B894-4FE8-A8B4-66FFC4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 Hemani</dc:creator>
  <cp:keywords/>
  <cp:lastModifiedBy>james Dick</cp:lastModifiedBy>
  <cp:revision>33</cp:revision>
  <dcterms:created xsi:type="dcterms:W3CDTF">2023-08-28T15:12:00Z</dcterms:created>
  <dcterms:modified xsi:type="dcterms:W3CDTF">2023-09-05T18:52:00Z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0x01010073E9E6CCD7A55B4184322B78A27F30B4</vt:lpwstr>
  </property>
</Properties>
</file>